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75963B8" w14:textId="77777777" w:rsidR="00CA1AC4" w:rsidRPr="00CA1AC4" w:rsidRDefault="00CA1AC4" w:rsidP="00CA1AC4">
      <w:pPr>
        <w:pStyle w:val="Title"/>
        <w:spacing w:before="200" w:after="180"/>
        <w:jc w:val="center"/>
        <w:rPr>
          <w:rFonts w:ascii="Arial" w:hAnsi="Arial" w:cs="Arial"/>
          <w:b/>
          <w:bCs/>
          <w:sz w:val="24"/>
          <w:szCs w:val="24"/>
        </w:rPr>
      </w:pPr>
      <w:r w:rsidRPr="00CA1AC4">
        <w:rPr>
          <w:rFonts w:ascii="Arial" w:hAnsi="Arial" w:cs="Arial"/>
          <w:b/>
          <w:bCs/>
          <w:sz w:val="24"/>
          <w:szCs w:val="24"/>
        </w:rPr>
        <w:t>GHANA’S BRICS BID AND THE PRICE OF STRATEGIC AUTONOMY</w:t>
      </w:r>
    </w:p>
    <w:p w14:paraId="4B536016" w14:textId="77777777" w:rsidR="00CA1AC4" w:rsidRDefault="00CA1AC4" w:rsidP="00CA1AC4">
      <w:pPr>
        <w:spacing w:after="160"/>
        <w:jc w:val="both"/>
      </w:pPr>
      <w:r>
        <w:rPr>
          <w:b/>
          <w:color w:val="333F48"/>
          <w:sz w:val="23"/>
        </w:rPr>
        <w:t xml:space="preserve">As Washington </w:t>
      </w:r>
      <w:r>
        <w:rPr>
          <w:b/>
          <w:bCs/>
          <w:color w:val="333F48"/>
          <w:sz w:val="23"/>
        </w:rPr>
        <w:t>takes a</w:t>
      </w:r>
      <w:r>
        <w:rPr>
          <w:b/>
          <w:color w:val="333F48"/>
          <w:sz w:val="23"/>
        </w:rPr>
        <w:t xml:space="preserve"> more</w:t>
      </w:r>
      <w:r w:rsidR="004433C2">
        <w:rPr>
          <w:b/>
          <w:color w:val="333F48"/>
          <w:sz w:val="23"/>
        </w:rPr>
        <w:t xml:space="preserve"> disruptive, transactional, and uncharacteristically unconventional</w:t>
      </w:r>
      <w:r>
        <w:rPr>
          <w:b/>
          <w:bCs/>
          <w:color w:val="333F48"/>
          <w:sz w:val="23"/>
        </w:rPr>
        <w:t xml:space="preserve"> approach</w:t>
      </w:r>
      <w:r w:rsidR="004433C2">
        <w:rPr>
          <w:b/>
          <w:bCs/>
          <w:color w:val="333F48"/>
          <w:sz w:val="23"/>
        </w:rPr>
        <w:t xml:space="preserve"> to global cooperation,</w:t>
      </w:r>
      <w:r>
        <w:rPr>
          <w:b/>
          <w:color w:val="333F48"/>
          <w:sz w:val="23"/>
        </w:rPr>
        <w:t xml:space="preserve"> and </w:t>
      </w:r>
      <w:r w:rsidR="004433C2">
        <w:rPr>
          <w:b/>
          <w:color w:val="333F48"/>
          <w:sz w:val="23"/>
        </w:rPr>
        <w:t xml:space="preserve">as </w:t>
      </w:r>
      <w:r>
        <w:rPr>
          <w:b/>
          <w:color w:val="333F48"/>
          <w:sz w:val="23"/>
        </w:rPr>
        <w:t xml:space="preserve">emerging powers compete for markets, minerals and influence, Ghana sees </w:t>
      </w:r>
      <w:r>
        <w:rPr>
          <w:b/>
          <w:bCs/>
          <w:color w:val="333F48"/>
          <w:sz w:val="23"/>
        </w:rPr>
        <w:t>a chance</w:t>
      </w:r>
      <w:r>
        <w:rPr>
          <w:b/>
          <w:color w:val="333F48"/>
          <w:sz w:val="23"/>
        </w:rPr>
        <w:t xml:space="preserve"> to widen its </w:t>
      </w:r>
      <w:r>
        <w:rPr>
          <w:b/>
          <w:bCs/>
          <w:color w:val="333F48"/>
          <w:sz w:val="23"/>
        </w:rPr>
        <w:t>options</w:t>
      </w:r>
      <w:r>
        <w:rPr>
          <w:b/>
          <w:color w:val="333F48"/>
          <w:sz w:val="23"/>
        </w:rPr>
        <w:t xml:space="preserve">. But </w:t>
      </w:r>
      <w:r>
        <w:rPr>
          <w:b/>
          <w:bCs/>
          <w:color w:val="333F48"/>
          <w:sz w:val="23"/>
        </w:rPr>
        <w:t>diversifying its diplomacy brings</w:t>
      </w:r>
      <w:r>
        <w:rPr>
          <w:b/>
          <w:color w:val="333F48"/>
          <w:sz w:val="23"/>
        </w:rPr>
        <w:t xml:space="preserve"> economic and geopolitical risks of its own.</w:t>
      </w:r>
    </w:p>
    <w:p w14:paraId="589A0874" w14:textId="77777777" w:rsidR="00CA1AC4" w:rsidRDefault="00CA1AC4" w:rsidP="00CA1AC4">
      <w:pPr>
        <w:jc w:val="both"/>
        <w:rPr>
          <w:b/>
          <w:color w:val="535B61"/>
          <w:sz w:val="19"/>
        </w:rPr>
      </w:pPr>
      <w:r>
        <w:rPr>
          <w:b/>
          <w:color w:val="535B61"/>
          <w:sz w:val="19"/>
        </w:rPr>
        <w:t xml:space="preserve">By Martin Waana-Ang | </w:t>
      </w:r>
    </w:p>
    <w:p w14:paraId="28432987" w14:textId="77777777" w:rsidR="00CA1AC4" w:rsidRPr="00CA1AC4" w:rsidRDefault="00CA1AC4" w:rsidP="00CA1AC4">
      <w:pPr>
        <w:pStyle w:val="Heading1"/>
        <w:jc w:val="both"/>
        <w:rPr>
          <w:rFonts w:ascii="Arial" w:hAnsi="Arial" w:cs="Arial"/>
          <w:b/>
          <w:bCs/>
          <w:sz w:val="22"/>
          <w:szCs w:val="22"/>
        </w:rPr>
      </w:pPr>
      <w:r w:rsidRPr="00CA1AC4">
        <w:rPr>
          <w:rFonts w:ascii="Arial" w:hAnsi="Arial" w:cs="Arial"/>
          <w:b/>
          <w:bCs/>
          <w:sz w:val="22"/>
          <w:szCs w:val="22"/>
        </w:rPr>
        <w:t>Introduction</w:t>
      </w:r>
    </w:p>
    <w:p w14:paraId="339CDC49" w14:textId="77777777" w:rsidR="007C603A" w:rsidRDefault="00000000">
      <w:pPr>
        <w:jc w:val="both"/>
      </w:pPr>
      <w:r>
        <w:t>Two announcements, made just four days apart, revealed the geopolitical dilemma now confronting Ghana’s foreign policy. On October 6, 2026, Foreign Affairs Minister Samuel Okudzeto Ablakwa announced Cabinet’s decision to pull Ghana toward closer ties with BRICS, a grouping of emerging economies that seek greater influence in global governance.</w:t>
      </w:r>
      <w:r>
        <w:rPr>
          <w:rStyle w:val="FootnoteReference"/>
        </w:rPr>
        <w:footnoteReference w:id="1"/>
      </w:r>
      <w:r>
        <w:t xml:space="preserve"> Four days later, President John Dramani Mahama disclosed that Washington had approached Ghana to renegotiate a proposed $109 million health cooperation agreement that Cabinet had earlier rejected as an affront to Ghana’s sovereignty.</w:t>
      </w:r>
      <w:r>
        <w:rPr>
          <w:rStyle w:val="FootnoteReference"/>
        </w:rPr>
        <w:footnoteReference w:id="2"/>
      </w:r>
    </w:p>
    <w:p w14:paraId="23BBB7DC" w14:textId="77777777" w:rsidR="004433C2" w:rsidRDefault="00CA1AC4" w:rsidP="00CA1AC4">
      <w:pPr>
        <w:jc w:val="both"/>
      </w:pPr>
      <w:r>
        <w:t xml:space="preserve">According to Mahama, the </w:t>
      </w:r>
      <w:r w:rsidR="004433C2">
        <w:t>agreement</w:t>
      </w:r>
      <w:r>
        <w:t xml:space="preserve"> contained objectionable provisions concerning the sharing of sensitive </w:t>
      </w:r>
      <w:r w:rsidR="004433C2">
        <w:t xml:space="preserve">Ghanaian </w:t>
      </w:r>
      <w:r>
        <w:t xml:space="preserve">health data, funding obligations and the regulatory authority of Ghana’s Food and Drugs Authority. The President described the terms as humiliating and inconsistent with Ghana’s national interests. </w:t>
      </w:r>
      <w:r w:rsidR="004433C2">
        <w:t>The agreement was, indeed, objectionable and unwarranted by all standards.</w:t>
      </w:r>
      <w:r w:rsidR="004433C2">
        <w:rPr>
          <w:rStyle w:val="FootnoteReference"/>
        </w:rPr>
        <w:footnoteReference w:id="3"/>
      </w:r>
      <w:r w:rsidR="004433C2">
        <w:t xml:space="preserve"> Cabinet’s decision to reject it was prudent and appropriate under the circumstances.</w:t>
      </w:r>
    </w:p>
    <w:p w14:paraId="73893681" w14:textId="77777777" w:rsidR="007C603A" w:rsidRDefault="00000000">
      <w:pPr>
        <w:jc w:val="both"/>
        <w:rPr>
          <w:bCs/>
        </w:rPr>
      </w:pPr>
      <w:r>
        <w:t>Washington’s willingness to reconsider these objectionable terms, however, marks a significant diplomatic development.</w:t>
      </w:r>
      <w:r>
        <w:rPr>
          <w:rStyle w:val="FootnoteReference"/>
        </w:rPr>
        <w:footnoteReference w:id="4"/>
      </w:r>
      <w:r>
        <w:t xml:space="preserve"> While there is no immediate evidence linking Washington’s renewed engagement to Ghana’s BRICS announcement, the timing seems to suggest that Ghana’s BRICS move may have sent a clear message to Washington about the future of Ghana-US relations. This turn of events raises an important question: did Ghana’s announcement that it </w:t>
      </w:r>
      <w:r>
        <w:lastRenderedPageBreak/>
        <w:t>would join or otherwise seek partner status with BRICS influence the U-turn on the US health deal? If so, does joining BRICS improve Ghana’s bargaining position regarding other allies?</w:t>
      </w:r>
    </w:p>
    <w:p w14:paraId="71FCECEB" w14:textId="77777777" w:rsidR="007C603A" w:rsidRDefault="00000000">
      <w:pPr>
        <w:jc w:val="both"/>
      </w:pPr>
      <w:r>
        <w:t>Ghana’s BRICS ambition comes at a time of growing uncertainty about the future of multilateralism, global cooperation, and the continued existence of multilateral institutions on trade, peace, security and accountability.</w:t>
      </w:r>
      <w:r>
        <w:rPr>
          <w:rStyle w:val="FootnoteReference"/>
        </w:rPr>
        <w:footnoteReference w:id="5"/>
      </w:r>
      <w:r>
        <w:t xml:space="preserve"> President Donald Trump’s return to the White House has intensified geopolitical tensions with allies, while weakening confidence in the postwar multilateral system that America had championed.</w:t>
      </w:r>
      <w:r>
        <w:rPr>
          <w:rStyle w:val="FootnoteReference"/>
        </w:rPr>
        <w:footnoteReference w:id="6"/>
      </w:r>
      <w:r>
        <w:t xml:space="preserve"> </w:t>
      </w:r>
    </w:p>
    <w:p w14:paraId="0F19EF88" w14:textId="77777777" w:rsidR="00CA1AC4" w:rsidRDefault="00CA1AC4" w:rsidP="00CA1AC4">
      <w:pPr>
        <w:jc w:val="both"/>
      </w:pPr>
      <w:r>
        <w:t>Within days of taking office, he began withdrawing the United States from the World Health Organization and the Paris Agreement</w:t>
      </w:r>
      <w:r w:rsidR="008A3A58">
        <w:t xml:space="preserve">. In </w:t>
      </w:r>
      <w:r>
        <w:t>January 2026, he directed</w:t>
      </w:r>
      <w:r w:rsidR="008A3A58">
        <w:t xml:space="preserve"> US</w:t>
      </w:r>
      <w:r>
        <w:t xml:space="preserve"> withdrawal from 66 further international </w:t>
      </w:r>
      <w:r w:rsidR="00503F70">
        <w:t>organizations</w:t>
      </w:r>
      <w:r>
        <w:t>, including the UN Framework Convention on Climate Change.</w:t>
      </w:r>
      <w:r>
        <w:rPr>
          <w:rStyle w:val="FootnoteReference"/>
        </w:rPr>
        <w:footnoteReference w:id="7"/>
      </w:r>
      <w:r>
        <w:t xml:space="preserve"> Additionally, the Trump administration’s sweeping tariffs and transactional approach to foreign relations have prompted even traditional American allies to reconsider their economic and strategic dependence on Washington.</w:t>
      </w:r>
      <w:r>
        <w:rPr>
          <w:rStyle w:val="FootnoteReference"/>
        </w:rPr>
        <w:footnoteReference w:id="8"/>
      </w:r>
      <w:r>
        <w:t xml:space="preserve"> For countries such as Ghana, these </w:t>
      </w:r>
      <w:r w:rsidR="00A30531">
        <w:t xml:space="preserve">troubling developments </w:t>
      </w:r>
      <w:r>
        <w:t xml:space="preserve">make the search for </w:t>
      </w:r>
      <w:r w:rsidR="008A3A58">
        <w:t xml:space="preserve">meaningful </w:t>
      </w:r>
      <w:r>
        <w:t>alternative partnerships more attractive.</w:t>
      </w:r>
    </w:p>
    <w:p w14:paraId="7106E721" w14:textId="77777777" w:rsidR="007C603A" w:rsidRDefault="00000000">
      <w:pPr>
        <w:jc w:val="both"/>
      </w:pPr>
      <w:r>
        <w:t>Accordingly, closer ties with BRICS could offer Ghana greater access to investment, trade, development finance and technological cooperation, particularly with China and India. It might also reduce Ghana’s dependence on US aid. PwC has projected that China and India could be the world’s two largest economies by 2050.</w:t>
      </w:r>
      <w:r>
        <w:rPr>
          <w:rStyle w:val="FootnoteReference"/>
        </w:rPr>
        <w:footnoteReference w:id="9"/>
      </w:r>
      <w:r>
        <w:t xml:space="preserve"> Ghana’s closer association with BRICS could, therefore, position it to benefit from the two biggest economies of the future. It would, additionally, at least in theory, align Ghana with countries that historically believe, politically, in </w:t>
      </w:r>
      <w:r>
        <w:lastRenderedPageBreak/>
        <w:t>respect for the sovereign equality of all states—a principle that the US, under Trump, has openly and brazenly disregarded.</w:t>
      </w:r>
      <w:r>
        <w:rPr>
          <w:rStyle w:val="FootnoteReference"/>
        </w:rPr>
        <w:footnoteReference w:id="10"/>
      </w:r>
      <w:r>
        <w:t xml:space="preserve"> </w:t>
      </w:r>
    </w:p>
    <w:p w14:paraId="30DDDC11" w14:textId="77777777" w:rsidR="007C603A" w:rsidRDefault="00000000">
      <w:pPr>
        <w:jc w:val="both"/>
      </w:pPr>
      <w:r>
        <w:t>These projected benefits, though, must be viewed with cautious optimism, since they are only presumptive. BRICS, in its current form, is neither a free-trade area nor a common market, and Ghana’s closer engagement with the bloc or participation in its activities will not necessarily guarantee preferential market access or development financing. Ghana’s immediate ambition, moreover, is to secure partner-country status rather than full membership, which means that we will have much less influence within the bloc than full members have.</w:t>
      </w:r>
      <w:r>
        <w:rPr>
          <w:rStyle w:val="FootnoteReference"/>
        </w:rPr>
        <w:footnoteReference w:id="11"/>
      </w:r>
    </w:p>
    <w:p w14:paraId="4A50546A" w14:textId="77777777" w:rsidR="00DA7B4F" w:rsidRDefault="00CA1AC4" w:rsidP="00CA1AC4">
      <w:pPr>
        <w:jc w:val="both"/>
      </w:pPr>
      <w:r>
        <w:t xml:space="preserve">Ghana’s BRICS move </w:t>
      </w:r>
      <w:r w:rsidR="00786A36">
        <w:t xml:space="preserve">may </w:t>
      </w:r>
      <w:r>
        <w:t xml:space="preserve">also </w:t>
      </w:r>
      <w:r w:rsidR="00DA7B4F">
        <w:t>carry</w:t>
      </w:r>
      <w:r>
        <w:t xml:space="preserve"> geopolitical risks. BRICS includes countries with which Washington has </w:t>
      </w:r>
      <w:r w:rsidR="006B17D2">
        <w:t xml:space="preserve">deep </w:t>
      </w:r>
      <w:r>
        <w:t xml:space="preserve">and significant economic and strategic disagreements. China competes with the United States over technology and global influence; Russia remains at odds with </w:t>
      </w:r>
      <w:r w:rsidR="00786A36">
        <w:t xml:space="preserve">Europe </w:t>
      </w:r>
      <w:r>
        <w:t>over Ukraine; and Iran faces longstanding tensions</w:t>
      </w:r>
      <w:r w:rsidR="009E70D1">
        <w:t xml:space="preserve"> with Washington</w:t>
      </w:r>
      <w:r>
        <w:t xml:space="preserve"> over its nuclear program and regional activities. Other members, including India, Brazil and South Africa, have also experienced disputes with Washington over their domestic and international policies.</w:t>
      </w:r>
      <w:r>
        <w:rPr>
          <w:rStyle w:val="FootnoteReference"/>
        </w:rPr>
        <w:footnoteReference w:id="12"/>
      </w:r>
      <w:r>
        <w:t xml:space="preserve"> </w:t>
      </w:r>
    </w:p>
    <w:p w14:paraId="06C330FE" w14:textId="77777777" w:rsidR="007C603A" w:rsidRDefault="00000000">
      <w:pPr>
        <w:jc w:val="both"/>
      </w:pPr>
      <w:r>
        <w:t>While Prime Minister Narendra Modi has repeatedly insisted that BRICS is not directed against anyone,</w:t>
      </w:r>
      <w:r>
        <w:rPr>
          <w:rStyle w:val="FootnoteReference"/>
        </w:rPr>
        <w:footnoteReference w:id="13"/>
      </w:r>
      <w:r>
        <w:t xml:space="preserve"> Ghana’s closer association with the grouping could complicate its relations with the United States, particularly under an erratic Trump leadership superintending an administration that has already threatened additional tariffs on countries “</w:t>
      </w:r>
      <w:r>
        <w:rPr>
          <w:i/>
          <w:iCs/>
        </w:rPr>
        <w:t>aligning themselves</w:t>
      </w:r>
      <w:r>
        <w:t>” with what it calls the anti-American policies of BRICS.</w:t>
      </w:r>
      <w:r>
        <w:rPr>
          <w:rStyle w:val="FootnoteReference"/>
        </w:rPr>
        <w:footnoteReference w:id="14"/>
      </w:r>
    </w:p>
    <w:p w14:paraId="093B2285" w14:textId="77777777" w:rsidR="007C603A" w:rsidRDefault="00000000">
      <w:pPr>
        <w:jc w:val="both"/>
      </w:pPr>
      <w:r>
        <w:t xml:space="preserve">There is also the risk of replacing one form of dependence with another. Ghana’s considerable mineral resources, including gold, lithium, manganese and bauxite, have become increasingly important amid global competition for critical minerals used in advanced technologies, defense </w:t>
      </w:r>
      <w:r>
        <w:lastRenderedPageBreak/>
        <w:t>and the energy transition. Closer engagement with BRICS economies could attract investment and support domestic processing to add value to these minerals. However, domestic processing will not in itself guarantee greater Ghanaian control without deliberate government policy to deepen technical and technological expertise, allow for more local participation, and create linkages with other sectors of the economy. There is also the possibility that Ghana might expose itself to unfavorable mineral concessions and extractive arrangements that benefit foreign investors while delivering limited domestic value for the Ghanaian people.</w:t>
      </w:r>
    </w:p>
    <w:p w14:paraId="3CA7FC2B" w14:textId="77777777" w:rsidR="00CA1AC4" w:rsidRDefault="00CA1AC4" w:rsidP="00CA1AC4">
      <w:pPr>
        <w:jc w:val="both"/>
      </w:pPr>
      <w:r>
        <w:rPr>
          <w:b/>
        </w:rPr>
        <w:t xml:space="preserve">Given these stark </w:t>
      </w:r>
      <w:r w:rsidR="00F1590F">
        <w:rPr>
          <w:b/>
        </w:rPr>
        <w:t>realities</w:t>
      </w:r>
      <w:r>
        <w:rPr>
          <w:b/>
        </w:rPr>
        <w:t>,</w:t>
      </w:r>
      <w:r w:rsidR="009E70D1">
        <w:rPr>
          <w:b/>
        </w:rPr>
        <w:t xml:space="preserve"> </w:t>
      </w:r>
      <w:r>
        <w:rPr>
          <w:b/>
        </w:rPr>
        <w:t>how can Ghana use BRICS to expand its economic opportunities and diplomatic influence without compromising its sovereignty or becoming dependent on another group of powerful states?</w:t>
      </w:r>
    </w:p>
    <w:p w14:paraId="1381CBC6" w14:textId="77777777" w:rsidR="00CA1AC4" w:rsidRDefault="00CA1AC4" w:rsidP="00CA1AC4">
      <w:pPr>
        <w:jc w:val="both"/>
      </w:pPr>
      <w:r>
        <w:t xml:space="preserve">Answering this question requires a critical assessment of BRICS’ achievements, </w:t>
      </w:r>
      <w:r w:rsidR="00FD62B8">
        <w:t xml:space="preserve">its </w:t>
      </w:r>
      <w:r>
        <w:t>institutional weaknesses and internal divisions</w:t>
      </w:r>
      <w:r w:rsidR="009E70D1">
        <w:t>. This assessment must be done</w:t>
      </w:r>
      <w:r>
        <w:t xml:space="preserve"> alongside the economic and geopolitical implications of Ghana’s proposed participation. This article examines th</w:t>
      </w:r>
      <w:r w:rsidR="009E70D1">
        <w:t>e</w:t>
      </w:r>
      <w:r>
        <w:t>se questions and considers how Ghana might navigate the competing opportunities and risks of BRICS participation. It also explores how Ghana might preserve the diplomatic flexibility, democratic credibility and economic sovereignty necessary to pursue its long-term development ambitions.</w:t>
      </w:r>
    </w:p>
    <w:p w14:paraId="75732FB6" w14:textId="77777777" w:rsidR="00CA1AC4" w:rsidRPr="009E70D1" w:rsidRDefault="00CA1AC4" w:rsidP="00CA1AC4">
      <w:pPr>
        <w:pStyle w:val="Heading1"/>
        <w:jc w:val="both"/>
        <w:rPr>
          <w:rFonts w:ascii="Arial" w:hAnsi="Arial" w:cs="Arial"/>
          <w:b/>
          <w:bCs/>
          <w:sz w:val="22"/>
          <w:szCs w:val="22"/>
        </w:rPr>
      </w:pPr>
      <w:r w:rsidRPr="009E70D1">
        <w:rPr>
          <w:rFonts w:ascii="Arial" w:hAnsi="Arial" w:cs="Arial"/>
          <w:b/>
          <w:bCs/>
          <w:sz w:val="22"/>
          <w:szCs w:val="22"/>
        </w:rPr>
        <w:t>From Bandung to BRICS: Ghana’s Tradition of South–South Cooperation</w:t>
      </w:r>
    </w:p>
    <w:p w14:paraId="5EFA4F94" w14:textId="77777777" w:rsidR="007C603A" w:rsidRDefault="00000000">
      <w:pPr>
        <w:jc w:val="both"/>
      </w:pPr>
      <w:r>
        <w:t>Ghana’s interest in BRICS appears to be consistent with its longstanding commitment to South–South cooperation. This tradition can be traced to the 1955 Bandung Conference in Indonesia, where 29 Asian and African countries gathered to promote political independence, economic cooperation and greater influence in international affairs.</w:t>
      </w:r>
      <w:r>
        <w:rPr>
          <w:rStyle w:val="FootnoteReference"/>
        </w:rPr>
        <w:footnoteReference w:id="15"/>
      </w:r>
      <w:r>
        <w:t xml:space="preserve"> The conference provided an avenue for developing countries to secure their sovereignty amid Cold War rivalry between the United States and the Soviet Union.</w:t>
      </w:r>
      <w:r>
        <w:rPr>
          <w:rStyle w:val="FootnoteReference"/>
        </w:rPr>
        <w:footnoteReference w:id="16"/>
      </w:r>
      <w:r>
        <w:t xml:space="preserve"> The wave of independence across the Global South, particularly within the African continent, from the 1960s through the 1970s has its roots in this conference.</w:t>
      </w:r>
    </w:p>
    <w:p w14:paraId="43CBC159" w14:textId="77777777" w:rsidR="007C603A" w:rsidRDefault="00000000">
      <w:pPr>
        <w:jc w:val="both"/>
      </w:pPr>
      <w:r>
        <w:t>While Ghana had not attained independence at the time of Bandung, our first President, Kwame Nkrumah, would become a leading advocate of Pan-Africanism and South—South cooperation. For Nkrumah, political independence meant little without economic freedom. He believed that African countries needed greater control over their resources, economies, and development choices to escape the inequalities inherited from colonial rule.</w:t>
      </w:r>
      <w:r>
        <w:rPr>
          <w:rStyle w:val="FootnoteReference"/>
        </w:rPr>
        <w:footnoteReference w:id="17"/>
      </w:r>
      <w:r>
        <w:t xml:space="preserve"> His closer relations with Eastern European and Asian countries, such as Russia and China, would cost </w:t>
      </w:r>
      <w:r>
        <w:lastRenderedPageBreak/>
        <w:t>him not only his relations with Western countries, particularly with President Kennedy, but ultimately his presidency, resulting in his untimely exit from office.</w:t>
      </w:r>
      <w:r>
        <w:rPr>
          <w:rStyle w:val="FootnoteReference"/>
        </w:rPr>
        <w:footnoteReference w:id="18"/>
      </w:r>
    </w:p>
    <w:p w14:paraId="7AC55256" w14:textId="77777777" w:rsidR="007C603A" w:rsidRDefault="00000000">
      <w:pPr>
        <w:jc w:val="both"/>
      </w:pPr>
      <w:r>
        <w:t>More than seven decades later, the concerns that animated the Bandung Conference remain relevant to the African story. Developing countries continue to face unequal access to global finance, technology, and markets, while having limited influence over the institutions that govern the world economy. Africa’s 54 countries, for example, hold about 6.5 percent of the voting rights at the International Monetary Fund, although they are home to about 18 percent of the world’s population.</w:t>
      </w:r>
      <w:r>
        <w:rPr>
          <w:rStyle w:val="FootnoteReference"/>
        </w:rPr>
        <w:footnoteReference w:id="19"/>
      </w:r>
      <w:r>
        <w:t xml:space="preserve"> Decades of calls by African leaders at the annual United Nations General Assembly have done little to change the narrative. The African Union’s common position on reform of the UN Security Council, adopted in 2005, remains unrealized two decades later.</w:t>
      </w:r>
      <w:r>
        <w:rPr>
          <w:rStyle w:val="FootnoteReference"/>
        </w:rPr>
        <w:footnoteReference w:id="20"/>
      </w:r>
      <w:r>
        <w:t xml:space="preserve"> African countries continue to borrow on international markets on some of the least favorable terms, leaving them little room for economic independence.</w:t>
      </w:r>
      <w:r>
        <w:rPr>
          <w:rStyle w:val="FootnoteReference"/>
        </w:rPr>
        <w:footnoteReference w:id="21"/>
      </w:r>
    </w:p>
    <w:p w14:paraId="7EF4B9BB" w14:textId="77777777" w:rsidR="007C603A" w:rsidRDefault="00000000">
      <w:pPr>
        <w:jc w:val="both"/>
      </w:pPr>
      <w:r>
        <w:t>Growing competition among major powers has further complicated Africa’s search for economic independence. The Cold War’s two rival blocs have given way to several competing centers of economic and political power. China has emerged as a major industrial power (in clean energy and technology), investor and lender.</w:t>
      </w:r>
      <w:r>
        <w:rPr>
          <w:rStyle w:val="FootnoteReference"/>
        </w:rPr>
        <w:footnoteReference w:id="22"/>
      </w:r>
      <w:r>
        <w:t xml:space="preserve"> India is expanding its global influence without abandoning its relationships with Western countries, often describing itself as “non-West” rather than “anti-West.”</w:t>
      </w:r>
      <w:r>
        <w:rPr>
          <w:rStyle w:val="FootnoteReference"/>
        </w:rPr>
        <w:footnoteReference w:id="23"/>
      </w:r>
      <w:r>
        <w:t xml:space="preserve"> Gulf states are using their financial resources to deepen their international presence. The United Arab Emirates, for example, has become one of the largest sources of foreign direct investment in Africa.</w:t>
      </w:r>
      <w:r>
        <w:rPr>
          <w:rStyle w:val="FootnoteReference"/>
        </w:rPr>
        <w:footnoteReference w:id="24"/>
      </w:r>
      <w:r>
        <w:t xml:space="preserve"> The European Union, for its part, continues to exercise considerable influence through trade and regulation.</w:t>
      </w:r>
      <w:r>
        <w:rPr>
          <w:rStyle w:val="FootnoteReference"/>
        </w:rPr>
        <w:footnoteReference w:id="25"/>
      </w:r>
      <w:r>
        <w:t xml:space="preserve"> Meanwhile, the United States retains substantial economic, technological, and military power, despite growing uncertainty over its foreign policy.</w:t>
      </w:r>
      <w:r>
        <w:rPr>
          <w:rStyle w:val="FootnoteReference"/>
        </w:rPr>
        <w:footnoteReference w:id="26"/>
      </w:r>
    </w:p>
    <w:p w14:paraId="0D862AF4" w14:textId="77777777" w:rsidR="007C603A" w:rsidRDefault="00000000">
      <w:pPr>
        <w:jc w:val="both"/>
      </w:pPr>
      <w:r>
        <w:lastRenderedPageBreak/>
        <w:t>Against this backdrop, Ghana’s pursuit of BRICS reflects its long-held ambition to diversify its international partnerships and secure greater control over its economic future. At the same time, it demonstrates Ghana’s desire to forge sustainable and reliable alliances in a fragmented world order. However, the central question remains whether closer cooperation with emerging powers can deliver the economic independence that Ghana has long sought since Nkrumah, or whether this alliance will merely create new forms of dependence. I turn to that question next, beginning with BRICS’ ambitious promise.</w:t>
      </w:r>
    </w:p>
    <w:p w14:paraId="6F2A9B65" w14:textId="77777777" w:rsidR="007C603A" w:rsidRDefault="00000000">
      <w:pPr>
        <w:pStyle w:val="Heading1"/>
        <w:jc w:val="both"/>
        <w:rPr>
          <w:rFonts w:ascii="Arial" w:hAnsi="Arial" w:cs="Arial"/>
          <w:b/>
          <w:bCs/>
          <w:sz w:val="20"/>
          <w:szCs w:val="20"/>
        </w:rPr>
      </w:pPr>
      <w:r>
        <w:rPr>
          <w:rFonts w:ascii="Arial" w:hAnsi="Arial" w:cs="Arial"/>
          <w:b/>
          <w:bCs/>
          <w:sz w:val="20"/>
          <w:szCs w:val="20"/>
        </w:rPr>
        <w:t>BRICS’ Ambitious Promise of an Alternative World Order and Its Limitations</w:t>
      </w:r>
    </w:p>
    <w:p w14:paraId="509859D7" w14:textId="77777777" w:rsidR="00CA1AC4" w:rsidRDefault="00CA1AC4" w:rsidP="00CA1AC4">
      <w:pPr>
        <w:jc w:val="both"/>
      </w:pPr>
      <w:r>
        <w:t>BRICS began as an acronym describing the rising economic influence of Brazil, Russia, India</w:t>
      </w:r>
      <w:r w:rsidR="00A17CCF">
        <w:t>,</w:t>
      </w:r>
      <w:r>
        <w:t xml:space="preserve"> and China. What started as an economic concept </w:t>
      </w:r>
      <w:r w:rsidR="00564BDF">
        <w:t>has grown, dramatically</w:t>
      </w:r>
      <w:r w:rsidR="0078419F">
        <w:t>,</w:t>
      </w:r>
      <w:r w:rsidR="00564BDF">
        <w:t xml:space="preserve"> into </w:t>
      </w:r>
      <w:r>
        <w:t>a diplomatic forum</w:t>
      </w:r>
      <w:r w:rsidR="00A17CCF">
        <w:t xml:space="preserve"> for political and economic cooperation</w:t>
      </w:r>
      <w:r w:rsidR="00564BDF">
        <w:t>. Its</w:t>
      </w:r>
      <w:r>
        <w:t xml:space="preserve"> first leaders’ summit</w:t>
      </w:r>
      <w:r w:rsidR="00A17CCF">
        <w:t xml:space="preserve"> was</w:t>
      </w:r>
      <w:r>
        <w:t xml:space="preserve"> held in 2009. South Africa</w:t>
      </w:r>
      <w:r w:rsidR="00995311">
        <w:t xml:space="preserve"> subsequently</w:t>
      </w:r>
      <w:r>
        <w:t xml:space="preserve"> joined in 2011, followed by a wider expansion that brought in Egypt, Ethiopia, Iran, the United Arab Emirates and Indonesia, among others.</w:t>
      </w:r>
      <w:r w:rsidR="00995311">
        <w:t xml:space="preserve"> </w:t>
      </w:r>
      <w:r w:rsidR="00995311" w:rsidRPr="00995311">
        <w:t>Belarus, Bolivia, Kazakhstan, Cuba, Malaysia, Nigeria, Thailand, Uganda, Uzbekistan and Vietnam joined BRICS as Partner Countries in 2025.</w:t>
      </w:r>
      <w:r>
        <w:t xml:space="preserve"> Today, BRICS brings together countries with considerable economic influence but differing political systems and strategic interests.</w:t>
      </w:r>
      <w:r>
        <w:rPr>
          <w:rStyle w:val="FootnoteReference"/>
        </w:rPr>
        <w:footnoteReference w:id="27"/>
      </w:r>
    </w:p>
    <w:p w14:paraId="7FBB7960" w14:textId="77777777" w:rsidR="00CA1AC4" w:rsidRDefault="0078419F" w:rsidP="00CA1AC4">
      <w:pPr>
        <w:jc w:val="both"/>
      </w:pPr>
      <w:r>
        <w:t>BRICS’ chief aim is to</w:t>
      </w:r>
      <w:r w:rsidR="00CA1AC4">
        <w:t xml:space="preserve"> seek</w:t>
      </w:r>
      <w:r>
        <w:t xml:space="preserve"> </w:t>
      </w:r>
      <w:r w:rsidR="00CA1AC4">
        <w:t>greater representation for emerging economies in global governance, particularly within institutions such as the International Monetary Fund, World Bank and United Nations.</w:t>
      </w:r>
      <w:r w:rsidR="00CA1AC4">
        <w:rPr>
          <w:rStyle w:val="FootnoteReference"/>
        </w:rPr>
        <w:footnoteReference w:id="28"/>
      </w:r>
      <w:r w:rsidR="00CA1AC4">
        <w:t xml:space="preserve"> Its members also cooperate on trade, finance, technology</w:t>
      </w:r>
      <w:r w:rsidR="00A17CCF">
        <w:t>,</w:t>
      </w:r>
      <w:r w:rsidR="00CA1AC4">
        <w:t xml:space="preserve"> and security. However, BRICS is </w:t>
      </w:r>
      <w:r>
        <w:t>not</w:t>
      </w:r>
      <w:r w:rsidR="00CA1AC4">
        <w:t xml:space="preserve"> a free-trade </w:t>
      </w:r>
      <w:r w:rsidR="00A17CCF">
        <w:t>area, a</w:t>
      </w:r>
      <w:r>
        <w:t xml:space="preserve"> customs union or a currency union. It has no common trade policy, and </w:t>
      </w:r>
      <w:r w:rsidR="00CA1AC4">
        <w:t>membership does not guarantee</w:t>
      </w:r>
      <w:r>
        <w:t xml:space="preserve"> automatic</w:t>
      </w:r>
      <w:r w:rsidR="00CA1AC4">
        <w:t xml:space="preserve"> preferential access to other members’ markets. Each country retains control over its economic and foreign policies.</w:t>
      </w:r>
      <w:r w:rsidR="00CA1AC4">
        <w:rPr>
          <w:rStyle w:val="FootnoteReference"/>
        </w:rPr>
        <w:footnoteReference w:id="29"/>
      </w:r>
    </w:p>
    <w:p w14:paraId="562C43C5" w14:textId="77777777" w:rsidR="007C603A" w:rsidRDefault="00000000">
      <w:pPr>
        <w:jc w:val="both"/>
      </w:pPr>
      <w:r>
        <w:t>Thus, while China and India offer vast markets and considerable investment opportunities, Ghana’s participation in BRICS will not automatically remove tariffs, attract investment or make Ghanaian products more competitive. These benefits will depend on Ghana’s ability to negotiate favorable agreements, improve its industrial capacity, and address domestic barriers that have long been a hindrance to trade.</w:t>
      </w:r>
    </w:p>
    <w:p w14:paraId="7B30CBFB" w14:textId="77777777" w:rsidR="007C603A" w:rsidRDefault="00000000">
      <w:pPr>
        <w:jc w:val="both"/>
      </w:pPr>
      <w:r>
        <w:t xml:space="preserve">Indeed, recent trade data show increasing trade flows between Ghana and BRICS countries. In 2025, the United Arab Emirates and India together received more than 40 percent of Ghana’s </w:t>
      </w:r>
      <w:r>
        <w:lastRenderedPageBreak/>
        <w:t>exports, mostly gold.</w:t>
      </w:r>
      <w:r>
        <w:rPr>
          <w:rStyle w:val="FootnoteReference"/>
        </w:rPr>
        <w:footnoteReference w:id="30"/>
      </w:r>
      <w:r>
        <w:t xml:space="preserve"> Ablakwa has said that trade with India alone has risen from about US$3 billion in 2024 to about US$7 billion.</w:t>
      </w:r>
      <w:r>
        <w:rPr>
          <w:rStyle w:val="FootnoteReference"/>
        </w:rPr>
        <w:footnoteReference w:id="31"/>
      </w:r>
      <w:r>
        <w:t xml:space="preserve"> And since May 1, 2026, China has granted zero-tariff treatment to all products from the 53 African countries with which it has diplomatic relations, Ghana included.</w:t>
      </w:r>
      <w:r>
        <w:rPr>
          <w:rStyle w:val="FootnoteReference"/>
        </w:rPr>
        <w:footnoteReference w:id="32"/>
      </w:r>
      <w:r>
        <w:t xml:space="preserve"> This decision was, however, made through a unilateral Chinese policy, not through BRICS, perhaps to send a message to Washington that while the US was disrupting relations with African allies through its actions, China was prepared to step into the leadership role hitherto held by Washington. </w:t>
      </w:r>
    </w:p>
    <w:p w14:paraId="1A0E6036" w14:textId="77777777" w:rsidR="007C603A" w:rsidRDefault="00000000">
      <w:pPr>
        <w:jc w:val="both"/>
      </w:pPr>
      <w:r>
        <w:t xml:space="preserve">Given these dynamics, it appears that Ghana already benefits from BRICS countries without being a BRICS member. Thus, formalizing relations with BRICS countries might increase trade flows, as there are diverse areas of cooperation that could be agreed upon between Ghana and these countries. </w:t>
      </w:r>
    </w:p>
    <w:p w14:paraId="348DAD0B" w14:textId="77777777" w:rsidR="007C603A" w:rsidRDefault="00000000">
      <w:pPr>
        <w:jc w:val="both"/>
      </w:pPr>
      <w:r>
        <w:t xml:space="preserve">Ghana, though, is initially seeking </w:t>
      </w:r>
      <w:r>
        <w:rPr>
          <w:i/>
        </w:rPr>
        <w:t>partner-country status</w:t>
      </w:r>
      <w:r>
        <w:t>, which offers fewer privileges than full membership. BRICS created this category in 2024, and ten countries, including Nigeria and Uganda, became partners in 2025.</w:t>
      </w:r>
      <w:r>
        <w:rPr>
          <w:rStyle w:val="FootnoteReference"/>
        </w:rPr>
        <w:footnoteReference w:id="33"/>
      </w:r>
      <w:r>
        <w:t xml:space="preserve"> Partners may participate in selected meetings and initiatives, but they do not enjoy the same role in the grouping’s decision-making processes. Partner status therefore creates opportunities for diplomatic engagement without guaranteeing access to financing, markets or other economic benefits.</w:t>
      </w:r>
      <w:r>
        <w:rPr>
          <w:rStyle w:val="FootnoteReference"/>
        </w:rPr>
        <w:footnoteReference w:id="34"/>
      </w:r>
      <w:r>
        <w:t xml:space="preserve"> It does not, of course, follow that being a partner would mean Ghana cannot leverage that position to secure favorable trade relations with BRICS countries. Additionally, joining as a partner would allow Ghana to properly study the dynamics and prospects of full BRICS membership before deciding to progress to full membership status.</w:t>
      </w:r>
    </w:p>
    <w:p w14:paraId="3A344607" w14:textId="77777777" w:rsidR="00CA1AC4" w:rsidRPr="0059437D" w:rsidRDefault="00CA1AC4" w:rsidP="00CA1AC4">
      <w:pPr>
        <w:pStyle w:val="Heading1"/>
        <w:jc w:val="both"/>
        <w:rPr>
          <w:rFonts w:ascii="Arial" w:hAnsi="Arial" w:cs="Arial"/>
          <w:b/>
          <w:bCs/>
          <w:sz w:val="22"/>
          <w:szCs w:val="22"/>
        </w:rPr>
      </w:pPr>
      <w:r w:rsidRPr="0059437D">
        <w:rPr>
          <w:rFonts w:ascii="Arial" w:hAnsi="Arial" w:cs="Arial"/>
          <w:b/>
          <w:bCs/>
          <w:sz w:val="22"/>
          <w:szCs w:val="22"/>
        </w:rPr>
        <w:t>What Has BRICS Achieved?</w:t>
      </w:r>
    </w:p>
    <w:p w14:paraId="026F5BE1" w14:textId="77777777" w:rsidR="007C603A" w:rsidRDefault="00000000">
      <w:pPr>
        <w:jc w:val="both"/>
      </w:pPr>
      <w:r>
        <w:t xml:space="preserve">The clearest evidence that BRICS has moved beyond diplomatic declarations is the establishment of the New Development Bank (NDB). As Oliver Stuenkel explains in </w:t>
      </w:r>
      <w:r>
        <w:rPr>
          <w:i/>
        </w:rPr>
        <w:t>The BRICS and the Future of Global Order</w:t>
      </w:r>
      <w:r>
        <w:t xml:space="preserve">, the grouping has gradually developed from an informal diplomatic platform into a forum capable of coordinating positions and establishing </w:t>
      </w:r>
      <w:r>
        <w:lastRenderedPageBreak/>
        <w:t>institutions—one that has attracted the attention of Washington and other Western countries.</w:t>
      </w:r>
      <w:r>
        <w:rPr>
          <w:rStyle w:val="FootnoteReference"/>
        </w:rPr>
        <w:footnoteReference w:id="35"/>
      </w:r>
      <w:r>
        <w:t xml:space="preserve"> The NDB, founded in 2014 and operational since 2015, finances infrastructure and sustainable development projects in emerging economies. Ghana might therefore benefit from the Bank’s finances by attaining partner status. </w:t>
      </w:r>
    </w:p>
    <w:p w14:paraId="05247858" w14:textId="77777777" w:rsidR="007C603A" w:rsidRDefault="00000000">
      <w:pPr>
        <w:jc w:val="both"/>
      </w:pPr>
      <w:r>
        <w:t>This could, in theory, reduce the country’s dependence on Western-led financial institutions. This theoretical framing is consistent with the government’s Accra Reset agenda. But as the President has stated, the solution to aid cuts is not to improve or perfect our begging skills, but to build economically resilient and independent economies that can resist external shocks. Thus, in joining BRICS, the mindset should not be how to secure more aid or funds from the NDB on favorable terms without thinking about ways to build a resilient economy through value addition, industrialization, technological innovation, and boosting trade in exports.</w:t>
      </w:r>
    </w:p>
    <w:p w14:paraId="632984E3" w14:textId="77777777" w:rsidR="007C603A" w:rsidRDefault="00000000">
      <w:pPr>
        <w:jc w:val="both"/>
      </w:pPr>
      <w:r>
        <w:t xml:space="preserve">Moreover, even if we do get access to funds from the NDB on favorable terms, that will not completely end Ghana’s reliance on the postwar financial institutions, particularly given their financial capacity and continuing importance to Ghana’s economic stability. Ghana must also measure the results of NDB-backed projects across BRICS countries against those of the Bretton Woods institutions to ascertain what real impact the NDB’s initiatives have had on the economies of BRICS countries. </w:t>
      </w:r>
    </w:p>
    <w:p w14:paraId="4ADBDCCA" w14:textId="77777777" w:rsidR="007C603A" w:rsidRDefault="00000000">
      <w:pPr>
        <w:jc w:val="both"/>
      </w:pPr>
      <w:r>
        <w:t>The NDB’s 2025 Annual Report records that, since commencing operations in 2015, it has financed tangible infrastructure projects, including China’s Luoyang Metro, the Putian offshore wind farm, India’s Madhya Pradesh road improvements and renewable-energy projects in South Africa.</w:t>
      </w:r>
      <w:r>
        <w:rPr>
          <w:rStyle w:val="FootnoteReference"/>
        </w:rPr>
        <w:footnoteReference w:id="36"/>
      </w:r>
      <w:r>
        <w:t xml:space="preserve"> By the end of 2025, the Bank had approved approximately US$43 billion across 139 projects, although only 17 had been recorded as completed with submitted project completion reports. These achievements demonstrate that BRICS can translate political cooperation into development finance.</w:t>
      </w:r>
      <w:r>
        <w:rPr>
          <w:rStyle w:val="FootnoteReference"/>
        </w:rPr>
        <w:footnoteReference w:id="37"/>
      </w:r>
      <w:r>
        <w:t xml:space="preserve"> Even so, approved funding should not be confused with actual disbursements or completed projects; a former vice president of the Bank has criticized the NDB’s slow conversion of approvals into contracts.</w:t>
      </w:r>
      <w:r>
        <w:rPr>
          <w:rStyle w:val="FootnoteReference"/>
        </w:rPr>
        <w:footnoteReference w:id="38"/>
      </w:r>
    </w:p>
    <w:p w14:paraId="6FB20BE5" w14:textId="77777777" w:rsidR="00D63549" w:rsidRDefault="00CB391D" w:rsidP="00D63549">
      <w:pPr>
        <w:jc w:val="both"/>
      </w:pPr>
      <w:r>
        <w:t>The NDB</w:t>
      </w:r>
      <w:r w:rsidR="00D63549">
        <w:t xml:space="preserve"> </w:t>
      </w:r>
      <w:r w:rsidR="00D63549" w:rsidRPr="0028464C">
        <w:t>has</w:t>
      </w:r>
      <w:r w:rsidR="00D63549">
        <w:t xml:space="preserve"> also</w:t>
      </w:r>
      <w:r w:rsidR="00D63549" w:rsidRPr="0028464C">
        <w:t xml:space="preserve"> recorded some gains in employment and domestic industrial development. Its support for China</w:t>
      </w:r>
      <w:r w:rsidR="000C079E">
        <w:t>’</w:t>
      </w:r>
      <w:r w:rsidR="00D63549" w:rsidRPr="0028464C">
        <w:t xml:space="preserve">s </w:t>
      </w:r>
      <w:proofErr w:type="spellStart"/>
      <w:r w:rsidR="00D63549" w:rsidRPr="0028464C">
        <w:t>Putian</w:t>
      </w:r>
      <w:proofErr w:type="spellEnd"/>
      <w:r w:rsidR="00D63549" w:rsidRPr="0028464C">
        <w:t xml:space="preserve"> offshore wind project, for example, was associated with 1,101 jobs,</w:t>
      </w:r>
      <w:r w:rsidR="00D63549">
        <w:rPr>
          <w:rStyle w:val="FootnoteReference"/>
        </w:rPr>
        <w:footnoteReference w:id="39"/>
      </w:r>
      <w:r w:rsidR="00D63549" w:rsidRPr="0028464C">
        <w:t xml:space="preserve"> while financing for India</w:t>
      </w:r>
      <w:r w:rsidR="00C10A97">
        <w:t>’</w:t>
      </w:r>
      <w:r w:rsidR="00D63549" w:rsidRPr="0028464C">
        <w:t xml:space="preserve">s Delhi–Meerut regional railway helped support locally </w:t>
      </w:r>
      <w:r w:rsidR="00D63549" w:rsidRPr="0028464C">
        <w:lastRenderedPageBreak/>
        <w:t>manufactured rolling stock.</w:t>
      </w:r>
      <w:r w:rsidR="00D63549">
        <w:rPr>
          <w:rStyle w:val="FootnoteReference"/>
        </w:rPr>
        <w:footnoteReference w:id="40"/>
      </w:r>
      <w:r w:rsidR="00D63549" w:rsidRPr="0028464C">
        <w:t xml:space="preserve"> </w:t>
      </w:r>
      <w:r w:rsidR="00D63549">
        <w:t xml:space="preserve">However, </w:t>
      </w:r>
      <w:r w:rsidR="00D63549" w:rsidRPr="0028464C">
        <w:t>the Bank</w:t>
      </w:r>
      <w:r w:rsidR="00D63549">
        <w:t>’</w:t>
      </w:r>
      <w:r w:rsidR="00D63549" w:rsidRPr="0028464C">
        <w:t>s record on technology transfer and capacity building is less impressive. Its own independent evaluators have identified limited technical assistance, weak knowledge-sharing</w:t>
      </w:r>
      <w:r w:rsidR="00C10A97">
        <w:t>,</w:t>
      </w:r>
      <w:r w:rsidR="00D63549" w:rsidRPr="0028464C">
        <w:t xml:space="preserve"> and missed opportunities to strengthen local expertise.</w:t>
      </w:r>
      <w:r w:rsidR="00D63549">
        <w:rPr>
          <w:rStyle w:val="FootnoteReference"/>
        </w:rPr>
        <w:footnoteReference w:id="41"/>
      </w:r>
      <w:r w:rsidR="00D63549" w:rsidRPr="0028464C">
        <w:t xml:space="preserve"> More importantly, the Bank has yet to provide comprehensive evidence of the permanent jobs, technological capabilities</w:t>
      </w:r>
      <w:r w:rsidR="00C10A97">
        <w:t xml:space="preserve">, </w:t>
      </w:r>
      <w:r w:rsidR="00D63549" w:rsidRPr="0028464C">
        <w:t>and lasting industrial benefits generated across its portfolio.</w:t>
      </w:r>
    </w:p>
    <w:p w14:paraId="1C7F3A38" w14:textId="77777777" w:rsidR="007C603A" w:rsidRDefault="00000000">
      <w:pPr>
        <w:jc w:val="both"/>
      </w:pPr>
      <w:r>
        <w:t>BRICS has also established the Contingent Reserve Arrangement, a US$100 billion financial safety net intended to help participating countries manage short-term balance-of-payments pressures.</w:t>
      </w:r>
      <w:r>
        <w:rPr>
          <w:rStyle w:val="FootnoteReference"/>
        </w:rPr>
        <w:footnoteReference w:id="42"/>
      </w:r>
      <w:r>
        <w:t xml:space="preserve"> Yet it has produced few tangible results. More than a decade after the treaty was signed, no member has drawn on the CRA, not even during the financial shock of the COVID-19 pandemic. BRICS central banks have conducted periodic “test runs” since 2018 to check operational readiness, but no actual balance-of-payments operation has been carried out.</w:t>
      </w:r>
      <w:r>
        <w:rPr>
          <w:rStyle w:val="FootnoteReference"/>
        </w:rPr>
        <w:footnoteReference w:id="43"/>
      </w:r>
      <w:r>
        <w:t xml:space="preserve"> The arrangement also remains tied to the IMF: a member seeking to draw more than 30 percent of its maximum access must first have an IMF program in place.</w:t>
      </w:r>
      <w:r>
        <w:rPr>
          <w:rStyle w:val="FootnoteReference"/>
        </w:rPr>
        <w:footnoteReference w:id="44"/>
      </w:r>
      <w:r>
        <w:t xml:space="preserve"> As Barry Eichengreen observed when it was created, a facility that requires an IMF program before it can be fully used offers little real alternative to the Fund.</w:t>
      </w:r>
      <w:r>
        <w:rPr>
          <w:rStyle w:val="FootnoteReference"/>
        </w:rPr>
        <w:footnoteReference w:id="45"/>
      </w:r>
      <w:r>
        <w:t xml:space="preserve"> </w:t>
      </w:r>
    </w:p>
    <w:p w14:paraId="57E92AB8" w14:textId="77777777" w:rsidR="007C603A" w:rsidRDefault="00000000">
      <w:pPr>
        <w:jc w:val="both"/>
      </w:pPr>
      <w:r>
        <w:t>Beyond finance, BRICS has created platforms for cooperation in energy, technology, science, health, and trade. Its leaders point to the Energy Research Cooperation Platform, the Partnership on the New Industrial Revolution and the Science, Technology and Innovation Framework as achievements.</w:t>
      </w:r>
      <w:r>
        <w:rPr>
          <w:rStyle w:val="FootnoteReference"/>
        </w:rPr>
        <w:footnoteReference w:id="46"/>
      </w:r>
      <w:r>
        <w:t xml:space="preserve"> In health, the BRICS Vaccine Research and Development Center was launched in March 2022, but it operates as a network of virtual national centers, </w:t>
      </w:r>
      <w:r>
        <w:lastRenderedPageBreak/>
        <w:t>with physical facilities deferred pending feasibility studies.</w:t>
      </w:r>
      <w:r>
        <w:rPr>
          <w:rStyle w:val="FootnoteReference"/>
        </w:rPr>
        <w:footnoteReference w:id="47"/>
      </w:r>
      <w:r>
        <w:t xml:space="preserve"> These initiatives have strengthened dialogue among members, although their economic impact is less clear.</w:t>
      </w:r>
    </w:p>
    <w:p w14:paraId="2718AD69" w14:textId="77777777" w:rsidR="004240A3" w:rsidRDefault="004240A3" w:rsidP="00D63549">
      <w:pPr>
        <w:jc w:val="both"/>
      </w:pPr>
      <w:r>
        <w:t xml:space="preserve">The grouping’s ambitions extend to reforming the international monetary system. Its members have advocated greater use of national currencies in cross-border transactions to reduce dependence on the United States dollar. Some have already developed bilateral arrangements for settling trade in local currencies. </w:t>
      </w:r>
    </w:p>
    <w:p w14:paraId="78C16371" w14:textId="77777777" w:rsidR="00D63549" w:rsidRDefault="00D63549" w:rsidP="00D63549">
      <w:pPr>
        <w:jc w:val="both"/>
      </w:pPr>
      <w:r>
        <w:t xml:space="preserve">It would appear, however, from the </w:t>
      </w:r>
      <w:r w:rsidR="00CB391D">
        <w:t>NDB’</w:t>
      </w:r>
      <w:r w:rsidR="009B3D21">
        <w:t>s own</w:t>
      </w:r>
      <w:r>
        <w:t xml:space="preserve"> report </w:t>
      </w:r>
      <w:r w:rsidR="004240A3">
        <w:t xml:space="preserve">that the </w:t>
      </w:r>
      <w:r w:rsidR="004240A3" w:rsidRPr="004240A3">
        <w:t>Bank</w:t>
      </w:r>
      <w:r w:rsidR="004240A3">
        <w:t>’</w:t>
      </w:r>
      <w:r w:rsidR="004240A3" w:rsidRPr="004240A3">
        <w:t>s financing has so far been concentrated in the five founding BRICS economies, particularly China, India, Brazil and South Africa. This raises questions about the immediate financial benefits Ghana could expect from joining BRICS. Even among the newer African participants, progress has been limited. Egypt joined the</w:t>
      </w:r>
      <w:r w:rsidR="009B3D21">
        <w:t xml:space="preserve"> NDB </w:t>
      </w:r>
      <w:r w:rsidR="004240A3" w:rsidRPr="004240A3">
        <w:t>in 2023, while Ethiopia, a full BRICS member, is still completing the Bank</w:t>
      </w:r>
      <w:r w:rsidR="004240A3">
        <w:t>’</w:t>
      </w:r>
      <w:r w:rsidR="004240A3" w:rsidRPr="004240A3">
        <w:t>s accession process. Nigeria, which became a BRICS partner in 2025, is not an NDB member. None of these countries has yet recorded an approved NDB project in the Bank</w:t>
      </w:r>
      <w:r w:rsidR="009318DE">
        <w:t>’</w:t>
      </w:r>
      <w:r w:rsidR="004240A3" w:rsidRPr="004240A3">
        <w:t>s published portfolio.</w:t>
      </w:r>
    </w:p>
    <w:p w14:paraId="2E10DF23" w14:textId="77777777" w:rsidR="007C603A" w:rsidRDefault="00000000">
      <w:pPr>
        <w:jc w:val="both"/>
      </w:pPr>
      <w:r>
        <w:t>There are also concerns about the quality of the Bank’s development impact. Although it has financed important infrastructure projects, its independent evaluations have identified weaknesses in the provision of employment, technical assistance, knowledge-sharing and capacity building. This casts doubt on whether access to NDB financing would, on its own, equip Ghanaian firms and workers with the technical expertise needed to strengthen domestic industries or add value to the country’s mineral resources. If access to BRICS does not improve the country’s technical and technological expertise to enable value addition and self-reliance, then joining BRICS is no different from dependency on the Bretton Woods financial institutions, which have produced similar results.</w:t>
      </w:r>
    </w:p>
    <w:p w14:paraId="584D0992" w14:textId="77777777" w:rsidR="007C603A" w:rsidRDefault="00000000">
      <w:pPr>
        <w:jc w:val="both"/>
      </w:pPr>
      <w:r>
        <w:t>More fundamentally, BRICS partner-country status does not automatically grant membership in the NDB or access to its loans. The Bank operates under a separate legal framework, with membership open to all United Nations member states, including countries outside BRICS. Ghana would therefore need to pursue a separate admission process and satisfy the Bank’s membership requirements.</w:t>
      </w:r>
      <w:r>
        <w:rPr>
          <w:rStyle w:val="FootnoteReference"/>
        </w:rPr>
        <w:footnoteReference w:id="48"/>
      </w:r>
    </w:p>
    <w:p w14:paraId="1E75074C" w14:textId="77777777" w:rsidR="004240A3" w:rsidRDefault="004240A3" w:rsidP="004240A3">
      <w:pPr>
        <w:jc w:val="both"/>
      </w:pPr>
      <w:r>
        <w:t xml:space="preserve">Additionally, BRICS has neither established a common currency nor created a credible alternative to the dollar-based financial system. The dollar’s dominance rests on the depth of </w:t>
      </w:r>
      <w:r>
        <w:lastRenderedPageBreak/>
        <w:t>American financial markets, international confidence in dollar assets, established payment infrastructure</w:t>
      </w:r>
      <w:r w:rsidR="009318DE">
        <w:t>,</w:t>
      </w:r>
      <w:r>
        <w:t xml:space="preserve"> and its widespread use in global trade and finance. Replacing these advantages would require far more than political declarations.</w:t>
      </w:r>
    </w:p>
    <w:p w14:paraId="0AA5BF9C" w14:textId="77777777" w:rsidR="004240A3" w:rsidRDefault="004240A3" w:rsidP="004240A3">
      <w:pPr>
        <w:jc w:val="both"/>
      </w:pPr>
      <w:r>
        <w:t>The September 2026 New Delhi Declaration illustrates both the grouping</w:t>
      </w:r>
      <w:r w:rsidR="009318DE">
        <w:t>’</w:t>
      </w:r>
      <w:r>
        <w:t xml:space="preserve">s ambitions and its limitations. BRICS leaders </w:t>
      </w:r>
      <w:r w:rsidR="009318DE">
        <w:t>criticized</w:t>
      </w:r>
      <w:r>
        <w:t xml:space="preserve"> unilateral tariffs and other trade restrictions considered inconsistent with World Trade Organization rules. They also called for reforms to the international trading system and opposed certain economic sanctions.</w:t>
      </w:r>
      <w:r>
        <w:rPr>
          <w:rStyle w:val="FootnoteReference"/>
        </w:rPr>
        <w:footnoteReference w:id="49"/>
      </w:r>
      <w:r>
        <w:t xml:space="preserve"> Yet the grouping lacks a common trade policy or a binding mechanism through which members can collectively respond to such measures.</w:t>
      </w:r>
    </w:p>
    <w:p w14:paraId="13B484B6" w14:textId="77777777" w:rsidR="007C603A" w:rsidRDefault="00000000">
      <w:pPr>
        <w:jc w:val="both"/>
      </w:pPr>
      <w:r>
        <w:t>BRICS has established important institutions and strengthened cooperation among emerging economies, but it has yet to develop a comprehensive alternative to the international economic order it seeks to reform. These limitations mean that Ghana’s expectations must reflect this reality.</w:t>
      </w:r>
    </w:p>
    <w:p w14:paraId="0F540712" w14:textId="77777777" w:rsidR="007C603A" w:rsidRDefault="00000000">
      <w:pPr>
        <w:jc w:val="both"/>
      </w:pPr>
      <w:r>
        <w:t>While BRICS members share an interest in reforming global governance, their competing economic and geopolitical priorities often constrain collective action. Ghana’s partner status would only be beneficial if it is able to translate participation in this diverse grouping into tangible economic benefits rather than merely using it as another platform for diplomatic engagement.</w:t>
      </w:r>
    </w:p>
    <w:p w14:paraId="25A005EC" w14:textId="77777777" w:rsidR="00CA1AC4" w:rsidRPr="004801CD" w:rsidRDefault="00CA1AC4" w:rsidP="00CA1AC4">
      <w:pPr>
        <w:pStyle w:val="Heading1"/>
        <w:jc w:val="both"/>
        <w:rPr>
          <w:rFonts w:ascii="Arial" w:hAnsi="Arial" w:cs="Arial"/>
          <w:b/>
          <w:bCs/>
          <w:sz w:val="22"/>
          <w:szCs w:val="22"/>
        </w:rPr>
      </w:pPr>
      <w:r w:rsidRPr="004801CD">
        <w:rPr>
          <w:rFonts w:ascii="Arial" w:hAnsi="Arial" w:cs="Arial"/>
          <w:b/>
          <w:bCs/>
          <w:sz w:val="22"/>
          <w:szCs w:val="22"/>
        </w:rPr>
        <w:t>Washington, Trade Wars and the Case for Diversification</w:t>
      </w:r>
    </w:p>
    <w:p w14:paraId="070FF40C" w14:textId="77777777" w:rsidR="007C603A" w:rsidRDefault="00000000">
      <w:pPr>
        <w:jc w:val="both"/>
      </w:pPr>
      <w:r>
        <w:t>Ghana’s interest in BRICS must also be understood against growing uncertainty in its relations with traditional economic partners, particularly the United States, and against the wider geopolitical situation in Europe.</w:t>
      </w:r>
    </w:p>
    <w:p w14:paraId="0A122483" w14:textId="77777777" w:rsidR="007C603A" w:rsidRDefault="00000000">
      <w:pPr>
        <w:jc w:val="both"/>
      </w:pPr>
      <w:r>
        <w:t xml:space="preserve">On April 2, 2025, President Donald Trump announced sweeping tariffs under what his administration described as </w:t>
      </w:r>
      <w:r>
        <w:rPr>
          <w:i/>
        </w:rPr>
        <w:t>Liberation Day</w:t>
      </w:r>
      <w:r>
        <w:t>.</w:t>
      </w:r>
      <w:r>
        <w:rPr>
          <w:rStyle w:val="FootnoteReference"/>
        </w:rPr>
        <w:footnoteReference w:id="50"/>
      </w:r>
      <w:r>
        <w:t xml:space="preserve"> Intended to protect American industries and address trade imbalances, the measures signaled Washington’s greater willingness to use access to the American market as an instrument of economic and diplomatic pressure. Ghanaian goods were subjected to a 10 percent tariff, and Ghana’s Trade Ministry opened consultations on the impact on exporters.</w:t>
      </w:r>
      <w:r>
        <w:rPr>
          <w:rStyle w:val="FootnoteReference"/>
        </w:rPr>
        <w:footnoteReference w:id="51"/>
      </w:r>
      <w:r>
        <w:t xml:space="preserve"> It is, however, unclear what the outcome of those trade negotiations has been.</w:t>
      </w:r>
    </w:p>
    <w:p w14:paraId="750F793F" w14:textId="77777777" w:rsidR="007C603A" w:rsidRDefault="00000000">
      <w:pPr>
        <w:jc w:val="both"/>
      </w:pPr>
      <w:r>
        <w:t xml:space="preserve">The legal basis for those tariffs has since shifted, but the policy has not. In February 2026, the United States Supreme Court held that the International Emergency Economic Powers Act, on which the Liberation Day tariffs relied, does not authorize the President to impose sweeping </w:t>
      </w:r>
      <w:r>
        <w:lastRenderedPageBreak/>
        <w:t>tariffs.</w:t>
      </w:r>
      <w:r>
        <w:rPr>
          <w:rStyle w:val="FootnoteReference"/>
        </w:rPr>
        <w:footnoteReference w:id="52"/>
      </w:r>
      <w:r>
        <w:t xml:space="preserve"> The administration responded within hours with a temporary global surcharge under section 122 of the Trade Act of 1974 and, when that expired in July 2026, replaced it with tariffs under sections 232 and 301 of the same Act covering some 60 economies.</w:t>
      </w:r>
      <w:r>
        <w:rPr>
          <w:rStyle w:val="FootnoteReference"/>
        </w:rPr>
        <w:footnoteReference w:id="53"/>
      </w:r>
      <w:r>
        <w:t xml:space="preserve"> </w:t>
      </w:r>
    </w:p>
    <w:p w14:paraId="6DAB66E9" w14:textId="77777777" w:rsidR="00CA1AC4" w:rsidRDefault="00CA1AC4" w:rsidP="00CA1AC4">
      <w:pPr>
        <w:jc w:val="both"/>
      </w:pPr>
      <w:r>
        <w:t xml:space="preserve">The consequences </w:t>
      </w:r>
      <w:r w:rsidR="009A2BFF">
        <w:t xml:space="preserve">of these tariffs </w:t>
      </w:r>
      <w:r>
        <w:t>extended beyond Washington’s geopolitical rivals. Longstanding allies also faced tariffs and renewed uncertainty about the future of their economic relationships with the United States.</w:t>
      </w:r>
    </w:p>
    <w:p w14:paraId="6397F09A" w14:textId="77777777" w:rsidR="00CA1AC4" w:rsidRDefault="00CA1AC4" w:rsidP="00CA1AC4">
      <w:pPr>
        <w:jc w:val="both"/>
      </w:pPr>
      <w:r>
        <w:t>Canada offers a revealing example. Despite its deep economic integration with the American economy, Ottawa has pursued efforts to diversify trade and reduce its exposure to American protectionism.</w:t>
      </w:r>
      <w:r>
        <w:rPr>
          <w:rStyle w:val="FootnoteReference"/>
        </w:rPr>
        <w:footnoteReference w:id="54"/>
      </w:r>
      <w:r>
        <w:t xml:space="preserve"> Trump’s repeated suggestions that Canada could become the fifty-first American state, alongside disputes concerning Greenland, have further strained relations with traditional allies.</w:t>
      </w:r>
      <w:r>
        <w:rPr>
          <w:rStyle w:val="FootnoteReference"/>
        </w:rPr>
        <w:footnoteReference w:id="55"/>
      </w:r>
    </w:p>
    <w:p w14:paraId="56F63CCE" w14:textId="77777777" w:rsidR="007C603A" w:rsidRDefault="00000000">
      <w:pPr>
        <w:jc w:val="both"/>
      </w:pPr>
      <w:r>
        <w:t>These developments do not suggest that the American-led international order has collapsed. The United States continues to retain enormous financial, technological, and military influence on the world stage. Nevertheless, Washington’s increasingly transactional foreign policy has weakened assumptions about the stability and predictability of its longstanding relationships.</w:t>
      </w:r>
    </w:p>
    <w:p w14:paraId="3F878427" w14:textId="77777777" w:rsidR="007C603A" w:rsidRDefault="00000000">
      <w:pPr>
        <w:jc w:val="both"/>
      </w:pPr>
      <w:r>
        <w:t>Secretary of State Marco Rubio’s October 2026 address in Athens reinforced this shift. His call for Western countries to rediscover their confidence, defend their interests, and strengthen their sovereignty reflected an administration placing renewed emphasis on the projection of national power and strategic advantage, regardless of the impact that might have on the world economy.</w:t>
      </w:r>
      <w:r>
        <w:rPr>
          <w:rStyle w:val="FootnoteReference"/>
        </w:rPr>
        <w:footnoteReference w:id="56"/>
      </w:r>
    </w:p>
    <w:p w14:paraId="4CE5936D" w14:textId="77777777" w:rsidR="007C603A" w:rsidRDefault="00000000">
      <w:pPr>
        <w:jc w:val="both"/>
      </w:pPr>
      <w:r>
        <w:t xml:space="preserve">The protectionist nature of the current administration and the uncertainties surrounding the future of multilateral institutions of the postwar period make pursuing regional and bilateral relationships more worthwhile. Embarking on such a course serves as insurance to protect Ghana’s economy against unpredictable policy shifts. This ensures that the country has a fallback option to sustain its economy against disruption. If there were ever a time for Ghana to pursue a more robust, independent economic policy, this is it. </w:t>
      </w:r>
    </w:p>
    <w:p w14:paraId="1E558C79" w14:textId="77777777" w:rsidR="007C603A" w:rsidRDefault="00000000">
      <w:pPr>
        <w:jc w:val="both"/>
      </w:pPr>
      <w:r>
        <w:lastRenderedPageBreak/>
        <w:t>Additionally, Europe, another longstanding partner of Ghana given our colonial history, is facing significant economic and political turmoil. Across the continent, sluggish economic growth, rising living costs, mounting public debt, and growing dissatisfaction with established political institutions have fueled social unrest.</w:t>
      </w:r>
      <w:r>
        <w:rPr>
          <w:rStyle w:val="FootnoteReference"/>
        </w:rPr>
        <w:footnoteReference w:id="57"/>
      </w:r>
      <w:r>
        <w:t xml:space="preserve"> Recent protests in France, Italy, and Spain, particularly among young people concerned about employment, housing, and declining living standards, reflect these pressures.</w:t>
      </w:r>
      <w:r>
        <w:rPr>
          <w:rStyle w:val="FootnoteReference"/>
        </w:rPr>
        <w:footnoteReference w:id="58"/>
      </w:r>
      <w:r>
        <w:t xml:space="preserve"> These events have given far-right leaders the impetus to blame illegal immigration for Europe’s economic woes. Britain has experienced considerable political instability, with frequent changes of prime minister since 2019,</w:t>
      </w:r>
      <w:r>
        <w:rPr>
          <w:rStyle w:val="FootnoteReference"/>
        </w:rPr>
        <w:footnoteReference w:id="59"/>
      </w:r>
      <w:r>
        <w:t xml:space="preserve"> while Germany has witnessed the growing influence of the far-right Alternative for Germany (AfD), which emerged as the second-largest party in the 2025 federal election.</w:t>
      </w:r>
      <w:r>
        <w:rPr>
          <w:rStyle w:val="FootnoteReference"/>
        </w:rPr>
        <w:footnoteReference w:id="60"/>
      </w:r>
    </w:p>
    <w:p w14:paraId="52FAC98F" w14:textId="77777777" w:rsidR="007C603A" w:rsidRDefault="00000000">
      <w:pPr>
        <w:jc w:val="both"/>
      </w:pPr>
      <w:r>
        <w:t>Russia’s war against Ukraine has compounded Europe’s difficulties. The continent has become vulnerable in energy security, and with Trump’s hostile attitude toward Europe, and Ukraine in particular, the bloc has been forced to increase spending on defense, placing additional pressure on public finances.</w:t>
      </w:r>
      <w:r>
        <w:rPr>
          <w:rStyle w:val="FootnoteReference"/>
        </w:rPr>
        <w:footnoteReference w:id="61"/>
      </w:r>
      <w:r>
        <w:t xml:space="preserve"> Although European economies modestly recovered from the immediate shock of the COVID-19 pandemic, economic growth remains weak and uneven. The European Commission projects modest growth of 1.1 percent in 2026 and 1.4 percent in 2027. These challenges have raised concerns about Europe’s long-term competitiveness and its ability to sustain its traditional economic and geopolitical influence.</w:t>
      </w:r>
      <w:r>
        <w:rPr>
          <w:rStyle w:val="FootnoteReference"/>
        </w:rPr>
        <w:footnoteReference w:id="62"/>
      </w:r>
    </w:p>
    <w:p w14:paraId="7A13575A" w14:textId="77777777" w:rsidR="007C603A" w:rsidRDefault="00000000">
      <w:pPr>
        <w:jc w:val="both"/>
      </w:pPr>
      <w:r>
        <w:t>Finally, the war in the Middle East has had particularly catastrophic consequences for the energy market. This makes it logical for Ghana to align with Russia, Iran and the Gulf states, given their extensive production and supplies of oil. This alliance might provide Ghana privileged access to oil deals that might mitigate the current economic consequences of the war. But as I will show, it is unlikely that this alliance will prove beneficial in terms of oil flows.</w:t>
      </w:r>
    </w:p>
    <w:p w14:paraId="530B00D2" w14:textId="77777777" w:rsidR="007C603A" w:rsidRDefault="00000000">
      <w:pPr>
        <w:jc w:val="both"/>
      </w:pPr>
      <w:r>
        <w:lastRenderedPageBreak/>
        <w:t>Pursuing alternative options to stabilize the Ghanaian economy also does not mean Ghana should cut ties with Washington—indeed, there is no suggestion that such an action is intended. The United States remains an important partner in trade, education, healthcare, investment and security. Maintaining this relationship is, accordingly, essential. However, growing uncertainty in American foreign policy, coupled with the political turmoil in Europe, makes excessive dependence on Washington and Europe increasingly difficult to justify. Diversification is therefore a reasonable response. The challenge is how to pursue it without turning relations with BRICS into a source of unnecessary confrontation with Western alliances.</w:t>
      </w:r>
    </w:p>
    <w:p w14:paraId="682B4C22" w14:textId="77777777" w:rsidR="00CA1AC4" w:rsidRPr="006E715A" w:rsidRDefault="00CA1AC4" w:rsidP="00CA1AC4">
      <w:pPr>
        <w:pStyle w:val="Heading1"/>
        <w:jc w:val="both"/>
        <w:rPr>
          <w:rFonts w:ascii="Arial" w:hAnsi="Arial" w:cs="Arial"/>
          <w:b/>
          <w:bCs/>
          <w:sz w:val="22"/>
          <w:szCs w:val="22"/>
        </w:rPr>
      </w:pPr>
      <w:r w:rsidRPr="006E715A">
        <w:rPr>
          <w:rFonts w:ascii="Arial" w:hAnsi="Arial" w:cs="Arial"/>
          <w:b/>
          <w:bCs/>
          <w:sz w:val="22"/>
          <w:szCs w:val="22"/>
        </w:rPr>
        <w:t>Can BRICS Strengthen Ghana’s Bargaining Power?</w:t>
      </w:r>
    </w:p>
    <w:p w14:paraId="60149801" w14:textId="77777777" w:rsidR="00CA1AC4" w:rsidRDefault="00CA1AC4" w:rsidP="00CA1AC4">
      <w:pPr>
        <w:jc w:val="both"/>
      </w:pPr>
      <w:r>
        <w:t>One of the strongest arguments for Ghana’s BRICS bid is its potential to improve the country</w:t>
      </w:r>
      <w:r w:rsidR="00446743">
        <w:t>’</w:t>
      </w:r>
      <w:r>
        <w:t>s bargaining position in international negotiations.</w:t>
      </w:r>
      <w:r w:rsidR="009A2BFF">
        <w:t xml:space="preserve"> Under conventional economic principles, access </w:t>
      </w:r>
      <w:r>
        <w:t xml:space="preserve">to credible alternatives can strengthen </w:t>
      </w:r>
      <w:r w:rsidR="006E715A">
        <w:t xml:space="preserve">Ghana’s </w:t>
      </w:r>
      <w:r>
        <w:t>negotiating position, allowing it to compare offers and demand better conditions.</w:t>
      </w:r>
      <w:r w:rsidR="001F7793">
        <w:t xml:space="preserve"> </w:t>
      </w:r>
      <w:r>
        <w:t xml:space="preserve">From this perspective, Ghana’s interest in BRICS may signal to Washington and other established partners that </w:t>
      </w:r>
      <w:r w:rsidR="006E715A">
        <w:t>Ghana</w:t>
      </w:r>
      <w:r>
        <w:t xml:space="preserve"> intends to broaden its diplomatic and economic options.</w:t>
      </w:r>
      <w:r w:rsidR="00446743">
        <w:t xml:space="preserve"> With more competitors in the picture, Ghana can insist on better terms of trade.</w:t>
      </w:r>
    </w:p>
    <w:p w14:paraId="11184E89" w14:textId="77777777" w:rsidR="00CA1AC4" w:rsidRDefault="00CA1AC4" w:rsidP="00CA1AC4">
      <w:pPr>
        <w:jc w:val="both"/>
      </w:pPr>
      <w:r>
        <w:t>The dispute over the proposed US–Ghana health cooperation agreement offers a useful illustration. Ghana rejected provisions it considered inconsistent with its sovereignty, while Washington subsequently expressed a willingness to reconsider the disputed terms.</w:t>
      </w:r>
      <w:r>
        <w:rPr>
          <w:rStyle w:val="FootnoteReference"/>
        </w:rPr>
        <w:footnoteReference w:id="63"/>
      </w:r>
      <w:r>
        <w:t xml:space="preserve"> There is no evidence that Ghana’s BRICS announcement prompted this change; Ghana rejected the compact in April 2026, months before the announcement.</w:t>
      </w:r>
      <w:r>
        <w:rPr>
          <w:rStyle w:val="FootnoteReference"/>
        </w:rPr>
        <w:footnoteReference w:id="64"/>
      </w:r>
      <w:r>
        <w:t xml:space="preserve"> Nevertheless, the episode shows the importance of a government being prepared to reject agreements that do not adequately protect its interests.</w:t>
      </w:r>
    </w:p>
    <w:p w14:paraId="6C898E05" w14:textId="77777777" w:rsidR="007C603A" w:rsidRDefault="00000000">
      <w:pPr>
        <w:jc w:val="both"/>
      </w:pPr>
      <w:r>
        <w:t>Closer ties with BRICS could strengthen Ghana’s position if they produce credible alternatives in financing, investment and trade. Russia’s ambassador to Ghana, indeed, heralded this possibility in a recent article he published.</w:t>
      </w:r>
      <w:r>
        <w:rPr>
          <w:rStyle w:val="FootnoteReference"/>
        </w:rPr>
        <w:footnoteReference w:id="65"/>
      </w:r>
      <w:r>
        <w:t xml:space="preserve"> However, diplomatic diversification creates bargaining power only when the alternatives are real and economically viable. This economic leverage, in any event, is very limited, perhaps confined to investment in Ghana’s natural resources. When it comes to exports, most products going out of Ghana are raw materials without real value addition. Therefore, diversification in markets will not necessarily increase market prices. Admittedly, with Washington’s penchant for tariffs, having alternative markets for exports will, of course, inure to the benefit of traders. Importantly, prices of commodities </w:t>
      </w:r>
      <w:r>
        <w:lastRenderedPageBreak/>
        <w:t>such as crude oil and gold, among other minerals, are not determined by competition alone but by the entire spectrum of global market forces. Having diversified markets without real value addition might increase trade flows, but not sufficient returns from such trade flows.</w:t>
      </w:r>
    </w:p>
    <w:p w14:paraId="741A551E" w14:textId="77777777" w:rsidR="00CA1AC4" w:rsidRPr="006E715A" w:rsidRDefault="00CA1AC4" w:rsidP="00CA1AC4">
      <w:pPr>
        <w:pStyle w:val="Heading1"/>
        <w:jc w:val="both"/>
        <w:rPr>
          <w:rFonts w:ascii="Arial" w:hAnsi="Arial" w:cs="Arial"/>
          <w:b/>
          <w:bCs/>
          <w:sz w:val="22"/>
          <w:szCs w:val="22"/>
        </w:rPr>
      </w:pPr>
      <w:r w:rsidRPr="006E715A">
        <w:rPr>
          <w:rFonts w:ascii="Arial" w:hAnsi="Arial" w:cs="Arial"/>
          <w:b/>
          <w:bCs/>
          <w:sz w:val="22"/>
          <w:szCs w:val="22"/>
        </w:rPr>
        <w:t>Ghana’s Democratic Reputation: Is There a Risk?</w:t>
      </w:r>
    </w:p>
    <w:p w14:paraId="3140511E" w14:textId="77777777" w:rsidR="007C603A" w:rsidRDefault="00000000">
      <w:pPr>
        <w:jc w:val="both"/>
      </w:pPr>
      <w:r>
        <w:t>Ghana’s democratic credentials raise another important concern about its intended association with BRICS. Since its return to constitutional rule in 1993, Ghana has established a reputation as a beacon of democracy on the continent.</w:t>
      </w:r>
      <w:r>
        <w:rPr>
          <w:rStyle w:val="FootnoteReference"/>
        </w:rPr>
        <w:footnoteReference w:id="66"/>
      </w:r>
      <w:r>
        <w:t xml:space="preserve"> Although challenges remain, this democratic record has strengthened its international standing and contributed to investor confidence. Freedom House rates Ghana as “Free” in its 2026 assessment, while noting weaknesses in areas such as judicial independence and public administration.</w:t>
      </w:r>
      <w:r>
        <w:rPr>
          <w:rStyle w:val="FootnoteReference"/>
        </w:rPr>
        <w:footnoteReference w:id="67"/>
      </w:r>
    </w:p>
    <w:p w14:paraId="0B74B110" w14:textId="77777777" w:rsidR="007C603A" w:rsidRDefault="00000000">
      <w:pPr>
        <w:jc w:val="both"/>
      </w:pPr>
      <w:r>
        <w:t>BRICS, however, brings together countries with sharply different political systems and democratic records. China, Russia and Iran operate under political arrangements that differ fundamentally from Ghana’s multiparty democracy—mostly authoritarian and theocratic forms of government. India faces growing criticism over civil liberties and minority rights.</w:t>
      </w:r>
      <w:r>
        <w:rPr>
          <w:rStyle w:val="FootnoteReference"/>
        </w:rPr>
        <w:footnoteReference w:id="68"/>
      </w:r>
      <w:r>
        <w:t xml:space="preserve"> While Brazil and South Africa remain constitutional democracies with competitive elections, their democratic records have come under scrutiny in recent times.</w:t>
      </w:r>
      <w:r>
        <w:rPr>
          <w:rStyle w:val="FootnoteReference"/>
        </w:rPr>
        <w:footnoteReference w:id="69"/>
      </w:r>
      <w:r>
        <w:t xml:space="preserve"> </w:t>
      </w:r>
    </w:p>
    <w:p w14:paraId="16B95907" w14:textId="77777777" w:rsidR="007C603A" w:rsidRDefault="00000000">
      <w:pPr>
        <w:jc w:val="both"/>
      </w:pPr>
      <w:r>
        <w:t>Ghana’s association with these countries must thus be approached with extreme circumspection. Indeed, the West might view such an association as endorsing the forms of government and other democratic practices of these states. Additionally, Ghana might not be able to openly oppose certain actions by the governments of these countries that are contrary to international norms and the principles of the UN Charter. For instance, when Russia invaded Ukraine in 2022, all the BRICS countries, except Brazil, voted against a UN resolution condemning Russia’s violation of Ukrainian sovereignty. Even though one of the ideals of BRICS is the protection of territorial sovereignty, the Bloc as a collective failed to issue a formal statement condemning Russia’s aggressive and illegal war.</w:t>
      </w:r>
    </w:p>
    <w:p w14:paraId="5F992D72" w14:textId="77777777" w:rsidR="007C603A" w:rsidRDefault="00000000">
      <w:pPr>
        <w:jc w:val="both"/>
      </w:pPr>
      <w:r>
        <w:t xml:space="preserve">Therefore, will Ghana’s association with the Bloc weaken its ability to resist pressure to endorse positions that conflict with its constitutional commitments? And will agreements negotiated through BRICS partnerships remain subject to transparency and public accountability as required by international law? A US congressional report found, in relation to China, that its lending and credit terms are usually opaque and lack strict accountability and transparency. </w:t>
      </w:r>
      <w:r>
        <w:lastRenderedPageBreak/>
        <w:t>Engaging deeply with these countries will inevitably raise accountability concerns. This concern, however, is possibly addressed by the constitutional requirement that agreements executed by the executive be subject to parliamentary approval pursuant to article 75 of the Constitution.</w:t>
      </w:r>
    </w:p>
    <w:p w14:paraId="12714855" w14:textId="77777777" w:rsidR="007C603A" w:rsidRDefault="00000000">
      <w:pPr>
        <w:jc w:val="both"/>
      </w:pPr>
      <w:r>
        <w:t>Ghana’s democratic reputation is an important diplomatic asset. Its participation in BRICS should reinforce its independence in international affairs without weakening its commitment to constitutional democracy, human rights and the rule of law. Anything short of this will set the country on a disastrous path.</w:t>
      </w:r>
    </w:p>
    <w:p w14:paraId="1EF09728" w14:textId="77777777" w:rsidR="00CA1AC4" w:rsidRPr="002C24BA" w:rsidRDefault="00CA1AC4" w:rsidP="00CA1AC4">
      <w:pPr>
        <w:pStyle w:val="Heading1"/>
        <w:jc w:val="both"/>
        <w:rPr>
          <w:rFonts w:ascii="Arial" w:hAnsi="Arial" w:cs="Arial"/>
          <w:b/>
          <w:bCs/>
          <w:sz w:val="22"/>
          <w:szCs w:val="22"/>
        </w:rPr>
      </w:pPr>
      <w:r w:rsidRPr="002C24BA">
        <w:rPr>
          <w:rFonts w:ascii="Arial" w:hAnsi="Arial" w:cs="Arial"/>
          <w:b/>
          <w:bCs/>
          <w:sz w:val="22"/>
          <w:szCs w:val="22"/>
        </w:rPr>
        <w:t>BRICS’ Internal Divisions: Unity Without a Common Purpose?</w:t>
      </w:r>
    </w:p>
    <w:p w14:paraId="0EE3AECE" w14:textId="77777777" w:rsidR="00CA1AC4" w:rsidRDefault="00CA1AC4" w:rsidP="00CA1AC4">
      <w:pPr>
        <w:jc w:val="both"/>
      </w:pPr>
      <w:r>
        <w:t xml:space="preserve">Despite </w:t>
      </w:r>
      <w:r w:rsidR="002C24BA">
        <w:t>BRICS’</w:t>
      </w:r>
      <w:r>
        <w:t xml:space="preserve"> growing influence, its members do not always share the same economic and geopolitical interests.</w:t>
      </w:r>
      <w:r w:rsidR="001F7793">
        <w:t xml:space="preserve"> </w:t>
      </w:r>
      <w:r>
        <w:t>China and India are two of its largest economies, yet they remain strategic competitors. Their longstanding border disputes and rivalry for regional influence coexist with extensive commercial relations.</w:t>
      </w:r>
      <w:r>
        <w:rPr>
          <w:rStyle w:val="FootnoteReference"/>
        </w:rPr>
        <w:footnoteReference w:id="70"/>
      </w:r>
    </w:p>
    <w:p w14:paraId="4FB5BD12" w14:textId="77777777" w:rsidR="00CA1AC4" w:rsidRDefault="00CA1AC4" w:rsidP="00CA1AC4">
      <w:pPr>
        <w:jc w:val="both"/>
      </w:pPr>
      <w:r>
        <w:t>Iran and the Gulf states have different regional security priorities, while Brazil and South Africa maintain important economic and diplomatic relationships with Western countries. Russia, meanwhile, faces extensive Western sanctions arising from its war against Ukraine.</w:t>
      </w:r>
      <w:r>
        <w:rPr>
          <w:rStyle w:val="FootnoteReference"/>
        </w:rPr>
        <w:footnoteReference w:id="71"/>
      </w:r>
      <w:r w:rsidR="002C24BA">
        <w:t xml:space="preserve"> </w:t>
      </w:r>
      <w:r>
        <w:t>These differences complicate attempts to present BRICS as a united alternative to Western leadership.</w:t>
      </w:r>
    </w:p>
    <w:p w14:paraId="0A234A23" w14:textId="77777777" w:rsidR="00CA1AC4" w:rsidRDefault="00CA1AC4" w:rsidP="00CA1AC4">
      <w:pPr>
        <w:jc w:val="both"/>
      </w:pPr>
      <w:r>
        <w:t>The grouping’s members broadly agree that international institutions should give developing countries greater representation. However, agreement on the need for reform does not necessarily translate into agreement on how reform should be achieved.</w:t>
      </w:r>
    </w:p>
    <w:p w14:paraId="06DFD817" w14:textId="77777777" w:rsidR="00CA1AC4" w:rsidRDefault="00CA1AC4" w:rsidP="00CA1AC4">
      <w:pPr>
        <w:jc w:val="both"/>
      </w:pPr>
      <w:r>
        <w:t>This is particularly evident in international trade.</w:t>
      </w:r>
      <w:r w:rsidR="002C24BA">
        <w:t xml:space="preserve"> </w:t>
      </w:r>
      <w:r>
        <w:t>China and India have benefited substantially from integration into global markets and the multilateral trading system; India was a founding member of the WTO, and China acceded in 2001.</w:t>
      </w:r>
      <w:r>
        <w:rPr>
          <w:rStyle w:val="FootnoteReference"/>
        </w:rPr>
        <w:footnoteReference w:id="72"/>
      </w:r>
      <w:r>
        <w:t xml:space="preserve"> Neither has a clear economic interest in dismantling institutions that have supported its industrial development. Both continue to maintain significant commercial relationships with Western economies, even while advocating changes to global economic governance.</w:t>
      </w:r>
    </w:p>
    <w:p w14:paraId="5471A6BF" w14:textId="77777777" w:rsidR="00CA1AC4" w:rsidRDefault="00CA1AC4" w:rsidP="00CA1AC4">
      <w:pPr>
        <w:jc w:val="both"/>
      </w:pPr>
      <w:r>
        <w:t>The deeper problem facing BRICS is the diversity of its members’ economic interests. Some depend heavily on manufactured exports, others on natural resources. Some remain closely integrated into dollar-based finance, while others seek alternatives because of sanctions. Their approaches to tariffs, investment, technology</w:t>
      </w:r>
      <w:r w:rsidR="00F27336">
        <w:t>,</w:t>
      </w:r>
      <w:r>
        <w:t xml:space="preserve"> and currency arrangements also differ.</w:t>
      </w:r>
    </w:p>
    <w:p w14:paraId="2716D6AA" w14:textId="77777777" w:rsidR="00CA1AC4" w:rsidRDefault="00CA1AC4" w:rsidP="00CA1AC4">
      <w:pPr>
        <w:jc w:val="both"/>
      </w:pPr>
      <w:r>
        <w:lastRenderedPageBreak/>
        <w:t xml:space="preserve">These divisions limit the extent to which BRICS can act as a coherent economic </w:t>
      </w:r>
      <w:r w:rsidR="00F97C0B">
        <w:t>B</w:t>
      </w:r>
      <w:r>
        <w:t>loc.</w:t>
      </w:r>
      <w:r w:rsidR="002C24BA">
        <w:t xml:space="preserve"> </w:t>
      </w:r>
      <w:proofErr w:type="spellStart"/>
      <w:r>
        <w:t>Nqophisa</w:t>
      </w:r>
      <w:proofErr w:type="spellEnd"/>
      <w:r>
        <w:t xml:space="preserve"> Diko and Norman Sempijja’s study of Brazil and South Africa suggests that BRICS participation has produced uneven outcomes in South–South cooperation, reflecting differences in national priorities.</w:t>
      </w:r>
      <w:r>
        <w:rPr>
          <w:rStyle w:val="FootnoteReference"/>
        </w:rPr>
        <w:footnoteReference w:id="73"/>
      </w:r>
      <w:r>
        <w:t xml:space="preserve"> Similarly, scholarship on emerging-power alliances shows that shared dissatisfaction with existing institutions does not necessarily produce a unified strategy for replacing them.</w:t>
      </w:r>
      <w:r>
        <w:rPr>
          <w:rStyle w:val="FootnoteReference"/>
        </w:rPr>
        <w:footnoteReference w:id="74"/>
      </w:r>
    </w:p>
    <w:p w14:paraId="3235F31A" w14:textId="77777777" w:rsidR="00CA1AC4" w:rsidRPr="002C24BA" w:rsidRDefault="00CA1AC4" w:rsidP="00CA1AC4">
      <w:pPr>
        <w:pStyle w:val="Heading1"/>
        <w:jc w:val="both"/>
        <w:rPr>
          <w:rFonts w:ascii="Arial" w:hAnsi="Arial" w:cs="Arial"/>
          <w:b/>
          <w:bCs/>
          <w:sz w:val="22"/>
          <w:szCs w:val="22"/>
        </w:rPr>
      </w:pPr>
      <w:r w:rsidRPr="002C24BA">
        <w:rPr>
          <w:rFonts w:ascii="Arial" w:hAnsi="Arial" w:cs="Arial"/>
          <w:b/>
          <w:bCs/>
          <w:sz w:val="22"/>
          <w:szCs w:val="22"/>
        </w:rPr>
        <w:t>The Economic Opportunity: Building Relationships with Tomorrow’s Major Powers</w:t>
      </w:r>
    </w:p>
    <w:p w14:paraId="5ABC00E3" w14:textId="77777777" w:rsidR="00CA1AC4" w:rsidRDefault="00CA1AC4" w:rsidP="00CA1AC4">
      <w:pPr>
        <w:jc w:val="both"/>
      </w:pPr>
      <w:r>
        <w:t>Despite these limitations, there are compelling economic reasons for Ghana to deepen relations with BRICS economies.</w:t>
      </w:r>
    </w:p>
    <w:p w14:paraId="797AF980" w14:textId="77777777" w:rsidR="00CA1AC4" w:rsidRDefault="00CA1AC4" w:rsidP="00CA1AC4">
      <w:pPr>
        <w:jc w:val="both"/>
      </w:pPr>
      <w:r>
        <w:t>China and India are already central to global manufacturing, technology, trade and investment. Indonesia has emerged as an important industrial and mineral-processing economy,</w:t>
      </w:r>
      <w:r>
        <w:rPr>
          <w:rStyle w:val="FootnoteReference"/>
        </w:rPr>
        <w:footnoteReference w:id="75"/>
      </w:r>
      <w:r>
        <w:t xml:space="preserve"> while Brazil and other BRICS members possess significant expertise in agriculture, energy and industrial development.</w:t>
      </w:r>
    </w:p>
    <w:p w14:paraId="7DC2990F" w14:textId="77777777" w:rsidR="00CA1AC4" w:rsidRDefault="00CA1AC4" w:rsidP="00CA1AC4">
      <w:pPr>
        <w:jc w:val="both"/>
      </w:pPr>
      <w:r>
        <w:t xml:space="preserve">In its 2017 report, </w:t>
      </w:r>
      <w:r>
        <w:rPr>
          <w:i/>
        </w:rPr>
        <w:t>The World in 2050</w:t>
      </w:r>
      <w:r>
        <w:t>, PwC projected that China and India could become the world’s two largest economies by 2050 when measured by purchasing-power-parity GDP, ahead of the United States. Indonesia was also projected to rise significantly in global economic rankings.</w:t>
      </w:r>
      <w:r>
        <w:rPr>
          <w:rStyle w:val="FootnoteReference"/>
        </w:rPr>
        <w:footnoteReference w:id="76"/>
      </w:r>
    </w:p>
    <w:p w14:paraId="2D76D481" w14:textId="77777777" w:rsidR="00CA1AC4" w:rsidRDefault="002C24BA" w:rsidP="00CA1AC4">
      <w:pPr>
        <w:jc w:val="both"/>
      </w:pPr>
      <w:r>
        <w:t>While these</w:t>
      </w:r>
      <w:r w:rsidR="00CA1AC4">
        <w:t xml:space="preserve"> projections are not certainties</w:t>
      </w:r>
      <w:r>
        <w:t>, they n</w:t>
      </w:r>
      <w:r w:rsidR="00CA1AC4">
        <w:t xml:space="preserve">evertheless </w:t>
      </w:r>
      <w:r>
        <w:t xml:space="preserve">reveal that </w:t>
      </w:r>
      <w:r w:rsidR="00CA1AC4">
        <w:t>the distribution of global economic power is changing, and Ghana has legitimate reasons to strengthen its relationships with major emerging economies.</w:t>
      </w:r>
    </w:p>
    <w:p w14:paraId="42C31CAC" w14:textId="77777777" w:rsidR="007C603A" w:rsidRDefault="00000000">
      <w:pPr>
        <w:jc w:val="both"/>
      </w:pPr>
      <w:r>
        <w:t xml:space="preserve">But the economic size of a partner alone will not guarantee benefits to Ghana. China’s industrial capacity, for example, creates opportunities for technology transfer, infrastructure investment and access to affordable machinery. At the same time, Chinese manufactured goods can place considerable pressure on Ghanaian producers through China’s dumping practices. Although China’s Belt and Road Initiative is laudable, it is beset with myriad challenges. A US congressional report found that the initiative was an attempt by the Chinese government to create employment for the teeming CCP youth. The report also found that China uses the initiative as leverage over important minerals and other strategic industries. For example, in 2017, when the Sri Lankan government was unable to repay PRC loans, China Merchants Port Holdings Company Ltd. acquired a majority stake in the firm that operates Sri Lanka's </w:t>
      </w:r>
      <w:r>
        <w:lastRenderedPageBreak/>
        <w:t>Hambantota port and the right to operate the port for 99 years.</w:t>
      </w:r>
      <w:r>
        <w:rPr>
          <w:rStyle w:val="FootnoteReference"/>
        </w:rPr>
        <w:footnoteReference w:id="77"/>
      </w:r>
      <w:r>
        <w:t xml:space="preserve"> In March 2026, China threatened to shut down the Nigerian Communications Satellite in orbit over the Nigerian operator’s failure to pay a debt of $11.44 million accumulated over the last seven years.</w:t>
      </w:r>
      <w:r>
        <w:rPr>
          <w:rStyle w:val="FootnoteReference"/>
        </w:rPr>
        <w:footnoteReference w:id="78"/>
      </w:r>
    </w:p>
    <w:p w14:paraId="522FDB15" w14:textId="77777777" w:rsidR="00CA1AC4" w:rsidRDefault="00CA1AC4" w:rsidP="00CA1AC4">
      <w:pPr>
        <w:jc w:val="both"/>
      </w:pPr>
      <w:r>
        <w:t>India’s pharmaceutical, digital and manufacturing industries present similar opportunities, but Ghana will benefit meaningfully only if cooperation develops local technical skills, productive capacity and competitive businesses.</w:t>
      </w:r>
    </w:p>
    <w:p w14:paraId="10F4A45A" w14:textId="77777777" w:rsidR="00CA1AC4" w:rsidRDefault="00CA1AC4" w:rsidP="00CA1AC4">
      <w:pPr>
        <w:jc w:val="both"/>
      </w:pPr>
      <w:r>
        <w:t>Ghana’s long-term economic interests will be served by what it learns, produces and exports through these partnerships, rather than simply by the size of the economies with which it associates.</w:t>
      </w:r>
    </w:p>
    <w:p w14:paraId="1451BD81" w14:textId="77777777" w:rsidR="00CA1AC4" w:rsidRPr="002C24BA" w:rsidRDefault="00CA1AC4" w:rsidP="00CA1AC4">
      <w:pPr>
        <w:pStyle w:val="Heading1"/>
        <w:jc w:val="both"/>
        <w:rPr>
          <w:rFonts w:ascii="Arial" w:hAnsi="Arial" w:cs="Arial"/>
          <w:b/>
          <w:bCs/>
          <w:sz w:val="22"/>
          <w:szCs w:val="22"/>
        </w:rPr>
      </w:pPr>
      <w:r w:rsidRPr="002C24BA">
        <w:rPr>
          <w:rFonts w:ascii="Arial" w:hAnsi="Arial" w:cs="Arial"/>
          <w:b/>
          <w:bCs/>
          <w:sz w:val="22"/>
          <w:szCs w:val="22"/>
        </w:rPr>
        <w:t>Critical Minerals: Opportunity or Another Cycle of Resource Exploitation?</w:t>
      </w:r>
    </w:p>
    <w:p w14:paraId="1EDFC92B" w14:textId="77777777" w:rsidR="00CA1AC4" w:rsidRDefault="00CA1AC4" w:rsidP="00CA1AC4">
      <w:pPr>
        <w:jc w:val="both"/>
      </w:pPr>
      <w:r>
        <w:t>Perhaps the most consequential aspect of Ghana</w:t>
      </w:r>
      <w:r w:rsidR="00540902">
        <w:t>’</w:t>
      </w:r>
      <w:r>
        <w:t>s BRICS ambition concerns the implications that association with the Bloc would have for our natural resources.</w:t>
      </w:r>
    </w:p>
    <w:p w14:paraId="0A353F28" w14:textId="77777777" w:rsidR="00CA1AC4" w:rsidRDefault="00CA1AC4" w:rsidP="00CA1AC4">
      <w:pPr>
        <w:jc w:val="both"/>
      </w:pPr>
      <w:r>
        <w:t>Critical minerals have become central to</w:t>
      </w:r>
      <w:r w:rsidR="00E22BBE">
        <w:t xml:space="preserve"> the</w:t>
      </w:r>
      <w:r>
        <w:t xml:space="preserve"> competition among major powers. They are essential to technologies ranging from electric vehicles and renewable-energy systems to advanced manufacturing, </w:t>
      </w:r>
      <w:r w:rsidR="00540902">
        <w:t>defense</w:t>
      </w:r>
      <w:r>
        <w:t xml:space="preserve"> equipment and</w:t>
      </w:r>
      <w:r w:rsidR="009B6E05">
        <w:t xml:space="preserve"> AI development</w:t>
      </w:r>
      <w:r>
        <w:t>. Their strategic importance has intensified efforts by the United States, China, India, European countries and Gulf investors to secure reliable supplies.</w:t>
      </w:r>
    </w:p>
    <w:p w14:paraId="37C48E6A" w14:textId="77777777" w:rsidR="007C603A" w:rsidRDefault="00000000">
      <w:pPr>
        <w:jc w:val="both"/>
      </w:pPr>
      <w:r>
        <w:t>Various strategies have been adopted by these states to achieve their aims. The European Union’s Critical Raw Materials Act sets benchmarks for domestic extraction, processing and recycling, and seeks to ensure that by 2030 no more than 65 percent of the Union’s annual consumption of each strategic raw material comes from a single third country.</w:t>
      </w:r>
      <w:r>
        <w:rPr>
          <w:rStyle w:val="FootnoteReference"/>
        </w:rPr>
        <w:footnoteReference w:id="79"/>
      </w:r>
      <w:r>
        <w:t xml:space="preserve"> It pursues these aims partly through “strategic partnerships” with resource-rich countries, several of them in Africa. In the United States, Executive Order 14241 directs federal agencies to expand domestic mineral production and to mobilize development finance for mineral projects.</w:t>
      </w:r>
      <w:r>
        <w:rPr>
          <w:rStyle w:val="FootnoteReference"/>
        </w:rPr>
        <w:footnoteReference w:id="80"/>
      </w:r>
    </w:p>
    <w:p w14:paraId="0A984AC8" w14:textId="77777777" w:rsidR="007C603A" w:rsidRDefault="00000000">
      <w:pPr>
        <w:jc w:val="both"/>
      </w:pPr>
      <w:r>
        <w:t xml:space="preserve">The International Energy Agency’s 2026 assessment highlights the concentration of global mineral processing. Excluding rare earths, the leading refining country accounted, on average, for approximately 72 percent of processing across key minerals in 2025. China dominates </w:t>
      </w:r>
      <w:r>
        <w:lastRenderedPageBreak/>
        <w:t>several important processing chains, while Indonesia has emerged as a major center for nickel processing.</w:t>
      </w:r>
      <w:r>
        <w:rPr>
          <w:rStyle w:val="FootnoteReference"/>
        </w:rPr>
        <w:footnoteReference w:id="81"/>
      </w:r>
    </w:p>
    <w:p w14:paraId="0F799F12" w14:textId="77777777" w:rsidR="007C603A" w:rsidRDefault="00000000">
      <w:pPr>
        <w:jc w:val="both"/>
      </w:pPr>
      <w:r>
        <w:t>These trends demonstrate that control over mineral processing can be as strategically important as ownership of deposits. Ghana possesses substantial gold, manganese and bauxite resources, alongside emerging lithium prospects. In March 2026, Parliament ratified the mining lease for the Ewoyaa lithium project, marking an important step toward developing the country’s lithium industry.</w:t>
      </w:r>
      <w:r>
        <w:rPr>
          <w:rStyle w:val="FootnoteReference"/>
        </w:rPr>
        <w:footnoteReference w:id="82"/>
      </w:r>
      <w:r>
        <w:t xml:space="preserve"> These resources could increase Ghana’s importance to countries seeking to diversify mineral supply chains.</w:t>
      </w:r>
    </w:p>
    <w:p w14:paraId="47D822CC" w14:textId="77777777" w:rsidR="00CA1AC4" w:rsidRDefault="00CA1AC4" w:rsidP="00CA1AC4">
      <w:pPr>
        <w:jc w:val="both"/>
      </w:pPr>
      <w:r>
        <w:t xml:space="preserve">In principle, competition among foreign investors could strengthen Ghana’s bargaining position. More potential buyers and investors may allow </w:t>
      </w:r>
      <w:r w:rsidR="000751D5">
        <w:t xml:space="preserve">Ghana </w:t>
      </w:r>
      <w:r>
        <w:t>to negotiate better fiscal terms, infrastructure commitments</w:t>
      </w:r>
      <w:r w:rsidR="000751D5">
        <w:t xml:space="preserve"> and </w:t>
      </w:r>
      <w:r>
        <w:t>local-processing arrangements</w:t>
      </w:r>
      <w:r w:rsidR="000751D5">
        <w:t xml:space="preserve"> for its extractive sector</w:t>
      </w:r>
      <w:r>
        <w:t>.</w:t>
      </w:r>
    </w:p>
    <w:p w14:paraId="49BBBADC" w14:textId="77777777" w:rsidR="00540902" w:rsidRPr="00540902" w:rsidRDefault="00BD06D9" w:rsidP="00540902">
      <w:pPr>
        <w:jc w:val="both"/>
      </w:pPr>
      <w:r>
        <w:t xml:space="preserve">However, </w:t>
      </w:r>
      <w:r w:rsidR="00CA1AC4">
        <w:t>China</w:t>
      </w:r>
      <w:r w:rsidR="00540902">
        <w:t xml:space="preserve">, Russia, </w:t>
      </w:r>
      <w:r w:rsidR="00CA1AC4">
        <w:t>and India, like Western industrial powers, have strong interests in securing reliable supplies of raw materials</w:t>
      </w:r>
      <w:r>
        <w:t xml:space="preserve"> for their strategic objectives, which might not align</w:t>
      </w:r>
      <w:r w:rsidR="00CA1AC4">
        <w:t xml:space="preserve"> with Ghana’s ambition to develop domestic industries.</w:t>
      </w:r>
      <w:r w:rsidR="00540902">
        <w:t xml:space="preserve"> China </w:t>
      </w:r>
      <w:r w:rsidR="00540902" w:rsidRPr="00540902">
        <w:t>continues to deepen its infrastructure-for-minerals model under the Belt</w:t>
      </w:r>
      <w:r w:rsidR="00540902">
        <w:t xml:space="preserve"> </w:t>
      </w:r>
      <w:r w:rsidR="00540902" w:rsidRPr="00540902">
        <w:t>and Road Initiative to maintain its dominant position in the region</w:t>
      </w:r>
      <w:r w:rsidR="00540902">
        <w:t>.</w:t>
      </w:r>
      <w:r w:rsidR="00540902">
        <w:rPr>
          <w:rStyle w:val="FootnoteReference"/>
        </w:rPr>
        <w:footnoteReference w:id="83"/>
      </w:r>
    </w:p>
    <w:p w14:paraId="41FC6017" w14:textId="77777777" w:rsidR="00CA1AC4" w:rsidRDefault="00540902" w:rsidP="00CA1AC4">
      <w:pPr>
        <w:jc w:val="both"/>
      </w:pPr>
      <w:r w:rsidRPr="00540902">
        <w:t>Russia has consolidated</w:t>
      </w:r>
      <w:r>
        <w:t xml:space="preserve"> </w:t>
      </w:r>
      <w:r w:rsidRPr="00540902">
        <w:t>security-for-minerals arrangements across the Sahel, offering regime protection, military support,</w:t>
      </w:r>
      <w:r>
        <w:t xml:space="preserve"> </w:t>
      </w:r>
      <w:r w:rsidRPr="00540902">
        <w:t>and political backing in exchange for access to gold and other strategic resources</w:t>
      </w:r>
      <w:r>
        <w:t>.</w:t>
      </w:r>
      <w:r>
        <w:rPr>
          <w:rStyle w:val="FootnoteReference"/>
        </w:rPr>
        <w:footnoteReference w:id="84"/>
      </w:r>
      <w:r>
        <w:t xml:space="preserve"> </w:t>
      </w:r>
      <w:r w:rsidRPr="00540902">
        <w:t>India has</w:t>
      </w:r>
      <w:r>
        <w:t xml:space="preserve"> </w:t>
      </w:r>
      <w:r w:rsidRPr="00540902">
        <w:t>pursued state-backed acquisition of exploration rights across Zambia and the Democratic Republic</w:t>
      </w:r>
      <w:r>
        <w:t xml:space="preserve"> </w:t>
      </w:r>
      <w:r w:rsidRPr="00540902">
        <w:t>of Congo, expanding its presence through a strategy combining extraction, industrial integration,</w:t>
      </w:r>
      <w:r>
        <w:t xml:space="preserve"> </w:t>
      </w:r>
      <w:r w:rsidRPr="00540902">
        <w:t>and infrastructure development</w:t>
      </w:r>
      <w:r w:rsidR="005017FA">
        <w:t>.</w:t>
      </w:r>
      <w:r w:rsidR="005017FA">
        <w:rPr>
          <w:rStyle w:val="FootnoteReference"/>
        </w:rPr>
        <w:footnoteReference w:id="85"/>
      </w:r>
    </w:p>
    <w:p w14:paraId="09FF27DA" w14:textId="77777777" w:rsidR="007C603A" w:rsidRDefault="00000000">
      <w:pPr>
        <w:jc w:val="both"/>
      </w:pPr>
      <w:r>
        <w:t>Given these dynamics, while closer diplomatic relations could encourage investment in mineral extraction, they could also create a cascading scramble for Ghana’s natural resources without guaranteeing that Ghana captures a greater share of the value generated by extractive activities. Also, given the limited transfer of technical and technological expertise by the Bloc’s most dominant states to other states, there is the risk that Ghana might find itself in a persistent cycle of exploitation without meaningful value addition.</w:t>
      </w:r>
      <w:r>
        <w:rPr>
          <w:rStyle w:val="FootnoteReference"/>
        </w:rPr>
        <w:footnoteReference w:id="86"/>
      </w:r>
    </w:p>
    <w:p w14:paraId="1CA89357" w14:textId="77777777" w:rsidR="00CA1AC4" w:rsidRPr="00436CCD" w:rsidRDefault="00CA1AC4" w:rsidP="00CA1AC4">
      <w:pPr>
        <w:pStyle w:val="Heading1"/>
        <w:jc w:val="both"/>
        <w:rPr>
          <w:rFonts w:ascii="Arial" w:hAnsi="Arial" w:cs="Arial"/>
          <w:b/>
          <w:bCs/>
          <w:sz w:val="22"/>
          <w:szCs w:val="22"/>
        </w:rPr>
      </w:pPr>
      <w:r w:rsidRPr="00436CCD">
        <w:rPr>
          <w:rFonts w:ascii="Arial" w:hAnsi="Arial" w:cs="Arial"/>
          <w:b/>
          <w:bCs/>
          <w:sz w:val="22"/>
          <w:szCs w:val="22"/>
        </w:rPr>
        <w:lastRenderedPageBreak/>
        <w:t>Trade, Development Finance</w:t>
      </w:r>
      <w:r w:rsidR="005017FA">
        <w:rPr>
          <w:rFonts w:ascii="Arial" w:hAnsi="Arial" w:cs="Arial"/>
          <w:b/>
          <w:bCs/>
          <w:sz w:val="22"/>
          <w:szCs w:val="22"/>
        </w:rPr>
        <w:t>,</w:t>
      </w:r>
      <w:r w:rsidRPr="00436CCD">
        <w:rPr>
          <w:rFonts w:ascii="Arial" w:hAnsi="Arial" w:cs="Arial"/>
          <w:b/>
          <w:bCs/>
          <w:sz w:val="22"/>
          <w:szCs w:val="22"/>
        </w:rPr>
        <w:t xml:space="preserve"> and the Risk of New Dependence</w:t>
      </w:r>
    </w:p>
    <w:p w14:paraId="0A292C7A" w14:textId="77777777" w:rsidR="00CA1AC4" w:rsidRDefault="00CA1AC4" w:rsidP="00CA1AC4">
      <w:pPr>
        <w:jc w:val="both"/>
      </w:pPr>
      <w:r>
        <w:t xml:space="preserve">The government’s expectation that BRICS engagement could expand trade and investment is understandable. But participation in the grouping </w:t>
      </w:r>
      <w:r w:rsidR="00436CCD">
        <w:t xml:space="preserve">will </w:t>
      </w:r>
      <w:r>
        <w:t>not remove the structural challenges facing Ghana’s economy.</w:t>
      </w:r>
    </w:p>
    <w:p w14:paraId="689BFCD0" w14:textId="77777777" w:rsidR="007C603A" w:rsidRDefault="00000000">
      <w:pPr>
        <w:jc w:val="both"/>
      </w:pPr>
      <w:r>
        <w:t>Access to large markets is valuable only when domestic businesses can produce competitive goods and services. Ghanaian exporters continue to face challenges involving production costs, infrastructure, financing, quality standards, and market access. Without improvements in these areas, closer ties with major manufacturing economies could increase imports without producing a comparable expansion in Ghanaian exports. China’s zero-tariff offer illustrates the point. Since its announcement, there has been no evidence of any credible increase in Ghana’s exports to China or that the government has put in place measures to reap the benefits of this policy. As stated above, India and the UAE were among Ghana’s leading export markets in Q2 2026.</w:t>
      </w:r>
      <w:r>
        <w:rPr>
          <w:rStyle w:val="FootnoteReference"/>
        </w:rPr>
        <w:footnoteReference w:id="87"/>
      </w:r>
    </w:p>
    <w:p w14:paraId="433EB61E" w14:textId="77777777" w:rsidR="0036390B" w:rsidRPr="0036390B" w:rsidRDefault="0036390B" w:rsidP="0036390B">
      <w:pPr>
        <w:jc w:val="both"/>
      </w:pPr>
      <w:r w:rsidRPr="0036390B">
        <w:t>Development finance presents both opportunities and risks. Ghana’s recent debt crisis underscores the need for prudent borrowing. In July 2026, the International Monetary Fund completed the sixth and final review of Ghana’s US$3 billion Extended Credit Facility, noting improvements in economic conditions but warning of persistent fiscal and financial vulnerabilities.</w:t>
      </w:r>
    </w:p>
    <w:p w14:paraId="57DD6EB8" w14:textId="77777777" w:rsidR="0036390B" w:rsidRPr="0036390B" w:rsidRDefault="0036390B" w:rsidP="0036390B">
      <w:pPr>
        <w:jc w:val="both"/>
      </w:pPr>
      <w:r w:rsidRPr="0036390B">
        <w:t>BRICS-related financing could support investment in energy, transport and industrial infrastructure. However, new loans must be assessed against their repayment terms, currency risks</w:t>
      </w:r>
      <w:r w:rsidR="005017FA">
        <w:t>,</w:t>
      </w:r>
      <w:r w:rsidRPr="0036390B">
        <w:t xml:space="preserve"> and long-term fiscal costs to avoid renewed debt distress.</w:t>
      </w:r>
    </w:p>
    <w:p w14:paraId="64ED702B" w14:textId="77777777" w:rsidR="0036390B" w:rsidRPr="0036390B" w:rsidRDefault="0036390B" w:rsidP="0036390B">
      <w:pPr>
        <w:jc w:val="both"/>
      </w:pPr>
      <w:r w:rsidRPr="0036390B">
        <w:t>Proposals to settle trade in local currencies also deserve scrutiny. While using the yuan, rupee or other currencies could lower transaction costs, it would not eliminate exchange-rate risks or Ghana’s need for foreign exchange.</w:t>
      </w:r>
    </w:p>
    <w:p w14:paraId="03F50DF9" w14:textId="77777777" w:rsidR="00CA1AC4" w:rsidRPr="0036390B" w:rsidRDefault="00CA1AC4" w:rsidP="00CA1AC4">
      <w:pPr>
        <w:pStyle w:val="Heading1"/>
        <w:jc w:val="both"/>
        <w:rPr>
          <w:rFonts w:ascii="Arial" w:hAnsi="Arial" w:cs="Arial"/>
          <w:b/>
          <w:bCs/>
          <w:sz w:val="22"/>
          <w:szCs w:val="22"/>
        </w:rPr>
      </w:pPr>
      <w:r w:rsidRPr="0036390B">
        <w:rPr>
          <w:rFonts w:ascii="Arial" w:hAnsi="Arial" w:cs="Arial"/>
          <w:b/>
          <w:bCs/>
          <w:sz w:val="22"/>
          <w:szCs w:val="22"/>
        </w:rPr>
        <w:t>How Should Ghana Measure Success?</w:t>
      </w:r>
    </w:p>
    <w:p w14:paraId="6B25AF98" w14:textId="77777777" w:rsidR="00CA1AC4" w:rsidRDefault="00CA1AC4" w:rsidP="00CA1AC4">
      <w:pPr>
        <w:jc w:val="both"/>
      </w:pPr>
      <w:r>
        <w:t>Ghana’s pursuit of BRICS should ultimately be judged against the government’s stated objectives of economic transformation, diversified partnerships</w:t>
      </w:r>
      <w:r w:rsidR="005017FA">
        <w:t>,</w:t>
      </w:r>
      <w:r>
        <w:t xml:space="preserve"> and greater control over national resources.</w:t>
      </w:r>
      <w:r>
        <w:rPr>
          <w:rStyle w:val="FootnoteReference"/>
        </w:rPr>
        <w:footnoteReference w:id="88"/>
      </w:r>
    </w:p>
    <w:p w14:paraId="1FCE4585" w14:textId="77777777" w:rsidR="007C603A" w:rsidRDefault="00000000">
      <w:pPr>
        <w:jc w:val="both"/>
      </w:pPr>
      <w:r>
        <w:t xml:space="preserve">Several questions should guide our assessment of the impact of BRICS partnership on our political and economic situation as a country. These questions matter across the political divide. The Minority in Parliament has criticized Cabinet’s decision for Ghana to seek BRICS partner status, while Ablakwa has responded that the previous government’s cabinet considered </w:t>
      </w:r>
      <w:r>
        <w:lastRenderedPageBreak/>
        <w:t>BRICS membership in 2023.</w:t>
      </w:r>
      <w:r>
        <w:rPr>
          <w:rStyle w:val="FootnoteReference"/>
        </w:rPr>
        <w:footnoteReference w:id="89"/>
      </w:r>
      <w:r>
        <w:t xml:space="preserve"> If both major parties have explored the idea, the more productive debate concerns the terms of engagement rather than the basis for it.</w:t>
      </w:r>
    </w:p>
    <w:p w14:paraId="474DB6FD" w14:textId="77777777" w:rsidR="00CA1AC4" w:rsidRDefault="00CA1AC4" w:rsidP="00CA1AC4">
      <w:pPr>
        <w:jc w:val="both"/>
      </w:pPr>
      <w:r>
        <w:t>First, what additional opportunities does formal BRICS engagement create beyond Ghana’s existing bilateral relationships? Ghana already maintains diplomatic and commercial ties with China, India, Brazil</w:t>
      </w:r>
      <w:r w:rsidR="0008654B">
        <w:t>,</w:t>
      </w:r>
      <w:r>
        <w:t xml:space="preserve"> and South Africa. Partner status should offer benefits that justify the additional diplomatic effort. Nigeria and Uganda, which became partners in 2025, offer a useful point of comparison.</w:t>
      </w:r>
      <w:r>
        <w:rPr>
          <w:rStyle w:val="FootnoteReference"/>
        </w:rPr>
        <w:footnoteReference w:id="90"/>
      </w:r>
    </w:p>
    <w:p w14:paraId="0B71E02E" w14:textId="77777777" w:rsidR="00CA1AC4" w:rsidRDefault="00CA1AC4" w:rsidP="00CA1AC4">
      <w:pPr>
        <w:jc w:val="both"/>
      </w:pPr>
      <w:r>
        <w:t>Second, will the relationship improve Ghana’s bargaining position? The relevant evidence would include more competitive financing, better investment terms, meaningful technology partnerships</w:t>
      </w:r>
      <w:r w:rsidR="0008654B">
        <w:t>, value-addition,</w:t>
      </w:r>
      <w:r>
        <w:t xml:space="preserve"> and greater access to export markets.</w:t>
      </w:r>
    </w:p>
    <w:p w14:paraId="2AB1F724" w14:textId="77777777" w:rsidR="00CA1AC4" w:rsidRDefault="00CA1AC4" w:rsidP="00CA1AC4">
      <w:pPr>
        <w:jc w:val="both"/>
      </w:pPr>
      <w:r>
        <w:t>Third, will investments support domestic production? Projects should be assessed by their contribution to Ghanaian employment, local suppliers, industrial capabilities</w:t>
      </w:r>
      <w:r w:rsidR="0008654B">
        <w:t>,</w:t>
      </w:r>
      <w:r>
        <w:t xml:space="preserve"> and export diversification.</w:t>
      </w:r>
    </w:p>
    <w:p w14:paraId="0862DCEC" w14:textId="77777777" w:rsidR="00CA1AC4" w:rsidRDefault="00CA1AC4" w:rsidP="00CA1AC4">
      <w:pPr>
        <w:jc w:val="both"/>
      </w:pPr>
      <w:r>
        <w:t>Fourth, can Ghana obtain financing without creating new debt vulnerabilities? Major infrastructure and investment agreements must remain consistent with fiscal sustainability and public accountability.</w:t>
      </w:r>
    </w:p>
    <w:p w14:paraId="53C21017" w14:textId="77777777" w:rsidR="00CA1AC4" w:rsidRDefault="00CA1AC4" w:rsidP="00CA1AC4">
      <w:pPr>
        <w:jc w:val="both"/>
      </w:pPr>
      <w:r>
        <w:t>Finally, will Ghana preserve its diplomatic and constitutional independence? Engagement with BRICS should not restrict its ability to cooperate with Western partners, defend democratic principles or regulate economic activity in the public interest.</w:t>
      </w:r>
    </w:p>
    <w:p w14:paraId="56F031B3" w14:textId="77777777" w:rsidR="00CA1AC4" w:rsidRDefault="00CA1AC4" w:rsidP="00CA1AC4">
      <w:pPr>
        <w:jc w:val="both"/>
      </w:pPr>
      <w:r>
        <w:t>These questions offer a more useful measure of success than the number of summits attended, declarations endorsed or investment announcements made.</w:t>
      </w:r>
    </w:p>
    <w:p w14:paraId="57AF76B8" w14:textId="77777777" w:rsidR="00CA1AC4" w:rsidRPr="0036390B" w:rsidRDefault="00CA1AC4" w:rsidP="00CA1AC4">
      <w:pPr>
        <w:pStyle w:val="Heading1"/>
        <w:jc w:val="both"/>
        <w:rPr>
          <w:rFonts w:ascii="Arial" w:hAnsi="Arial" w:cs="Arial"/>
          <w:b/>
          <w:bCs/>
          <w:sz w:val="22"/>
          <w:szCs w:val="22"/>
        </w:rPr>
      </w:pPr>
      <w:r w:rsidRPr="0036390B">
        <w:rPr>
          <w:rFonts w:ascii="Arial" w:hAnsi="Arial" w:cs="Arial"/>
          <w:b/>
          <w:bCs/>
          <w:sz w:val="22"/>
          <w:szCs w:val="22"/>
        </w:rPr>
        <w:t>Conclusion</w:t>
      </w:r>
    </w:p>
    <w:p w14:paraId="016A50C2" w14:textId="77777777" w:rsidR="00CA1AC4" w:rsidRDefault="00CA1AC4" w:rsidP="00CA1AC4">
      <w:pPr>
        <w:jc w:val="both"/>
      </w:pPr>
      <w:r>
        <w:t xml:space="preserve">Ghana’s interest in BRICS reflects a reasonable response to a changing international order. Competition among major powers is creating new diplomatic and economic opportunities, while uncertainty in established partnerships has made diversification </w:t>
      </w:r>
      <w:r w:rsidR="0036390B">
        <w:t>more</w:t>
      </w:r>
      <w:r>
        <w:t xml:space="preserve"> important</w:t>
      </w:r>
      <w:r w:rsidR="0036390B">
        <w:t xml:space="preserve"> than ever.</w:t>
      </w:r>
    </w:p>
    <w:p w14:paraId="66A8C2C5" w14:textId="77777777" w:rsidR="00CA1AC4" w:rsidRDefault="00CA1AC4" w:rsidP="00CA1AC4">
      <w:pPr>
        <w:jc w:val="both"/>
      </w:pPr>
      <w:r>
        <w:t>BRICS offers access to influential emerging economies</w:t>
      </w:r>
      <w:r w:rsidR="009B6E05">
        <w:t xml:space="preserve"> </w:t>
      </w:r>
      <w:r>
        <w:t xml:space="preserve">and institutions such as the New Development Bank. </w:t>
      </w:r>
      <w:r w:rsidR="0036390B">
        <w:t xml:space="preserve">However, </w:t>
      </w:r>
      <w:r>
        <w:t>its internal divisions, limited economic integration</w:t>
      </w:r>
      <w:r w:rsidR="0008654B">
        <w:t>,</w:t>
      </w:r>
      <w:r>
        <w:t xml:space="preserve"> and competing national interests constrain what it can deliver.</w:t>
      </w:r>
    </w:p>
    <w:p w14:paraId="7344E46B" w14:textId="77777777" w:rsidR="007C603A" w:rsidRDefault="00000000">
      <w:pPr>
        <w:jc w:val="both"/>
      </w:pPr>
      <w:r>
        <w:lastRenderedPageBreak/>
        <w:t>Therefore, the greatest opportunity for Ghana in associating with BRICS is to use these relationships to strengthen its negotiating position, attract productive investment, secure better terms for the development of its natural resources and add value to them.</w:t>
      </w:r>
    </w:p>
    <w:p w14:paraId="34FBD4E8" w14:textId="77777777" w:rsidR="00CA1AC4" w:rsidRDefault="00CA1AC4" w:rsidP="00CA1AC4">
      <w:pPr>
        <w:jc w:val="both"/>
      </w:pPr>
      <w:r>
        <w:t>The greatest danger is that closer ties with emerging powers could reproduce the same economic dependence that Ghana has long sought to overcome.</w:t>
      </w:r>
    </w:p>
    <w:p w14:paraId="3C23A1AC" w14:textId="77777777" w:rsidR="00CA1AC4" w:rsidRDefault="00CA1AC4" w:rsidP="00CA1AC4">
      <w:pPr>
        <w:jc w:val="both"/>
      </w:pPr>
      <w:r>
        <w:t>Ghana’s strongest position is one in which no major power can take its partnership for granted, and every prospective investor must compete on terms that advance the country’s development.</w:t>
      </w:r>
    </w:p>
    <w:p w14:paraId="3DFE11B6" w14:textId="77777777" w:rsidR="00CA1AC4" w:rsidRDefault="00CA1AC4" w:rsidP="00CA1AC4">
      <w:pPr>
        <w:jc w:val="both"/>
      </w:pPr>
      <w:r>
        <w:t>BRICS may give Ghana more diplomatic choices. Whether those choices produce greater economic sovereignty will depend on the quality of the agreements Ghana negotiates, the strength of its institutions and its willingness to defend the national interest.</w:t>
      </w:r>
    </w:p>
    <w:sectPr w:rsidR="00CA1AC4">
      <w:headerReference w:type="default" r:id="rId8"/>
      <w:footerReference w:type="default" r:id="rId9"/>
      <w:pgSz w:w="11906" w:h="16838"/>
      <w:pgMar w:top="1138" w:right="1397" w:bottom="1138" w:left="139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A7E336D" w14:textId="77777777" w:rsidR="00DA6FE7" w:rsidRDefault="00DA6FE7" w:rsidP="00CA1AC4">
      <w:pPr>
        <w:spacing w:after="0" w:line="240" w:lineRule="auto"/>
      </w:pPr>
      <w:r>
        <w:separator/>
      </w:r>
    </w:p>
  </w:endnote>
  <w:endnote w:type="continuationSeparator" w:id="0">
    <w:p w14:paraId="496CDD8C" w14:textId="77777777" w:rsidR="00DA6FE7" w:rsidRDefault="00DA6FE7" w:rsidP="00CA1A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321A1D" w14:textId="77777777" w:rsidR="00CA1AC4" w:rsidRDefault="00CA1AC4">
    <w:pPr>
      <w:pStyle w:val="Footer"/>
      <w:jc w:val="right"/>
    </w:pPr>
    <w:r>
      <w:rPr>
        <w:color w:val="68717A"/>
        <w:sz w:val="16"/>
      </w:rPr>
      <w:t xml:space="preserve">16 OCTOBER 2026   |   </w:t>
    </w:r>
    <w:r>
      <w:fldChar w:fldCharType="begin"/>
    </w:r>
    <w:r>
      <w:instrText>PAGE</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F4EED99" w14:textId="77777777" w:rsidR="00DA6FE7" w:rsidRDefault="00DA6FE7" w:rsidP="00CA1AC4">
      <w:pPr>
        <w:spacing w:after="0" w:line="240" w:lineRule="auto"/>
      </w:pPr>
      <w:r>
        <w:separator/>
      </w:r>
    </w:p>
  </w:footnote>
  <w:footnote w:type="continuationSeparator" w:id="0">
    <w:p w14:paraId="7FF9CA8C" w14:textId="77777777" w:rsidR="00DA6FE7" w:rsidRDefault="00DA6FE7" w:rsidP="00CA1AC4">
      <w:pPr>
        <w:spacing w:after="0" w:line="240" w:lineRule="auto"/>
      </w:pPr>
      <w:r>
        <w:continuationSeparator/>
      </w:r>
    </w:p>
  </w:footnote>
  <w:footnote w:id="1">
    <w:p w14:paraId="3D7D08F0" w14:textId="77777777" w:rsidR="00CA1AC4" w:rsidRDefault="00CA1AC4" w:rsidP="00DA7B4F">
      <w:pPr>
        <w:pStyle w:val="FootnoteText"/>
        <w:jc w:val="both"/>
      </w:pPr>
      <w:r>
        <w:rPr>
          <w:rStyle w:val="FootnoteReference"/>
        </w:rPr>
        <w:footnoteRef/>
      </w:r>
      <w:r>
        <w:t xml:space="preserve"> ‘Ghana to Apply for BRICS Membership—</w:t>
      </w:r>
      <w:proofErr w:type="spellStart"/>
      <w:r>
        <w:t>Ablakwa</w:t>
      </w:r>
      <w:proofErr w:type="spellEnd"/>
      <w:r>
        <w:t>’ (Ghana News Agency, 6 October 2026) &lt;</w:t>
      </w:r>
      <w:hyperlink r:id="rId1">
        <w:r>
          <w:rPr>
            <w:rStyle w:val="Hyperlink"/>
          </w:rPr>
          <w:t>https://gna.org.gh/2026/10/ghana-to-apply-for-brics-membership-ablakwa/</w:t>
        </w:r>
      </w:hyperlink>
      <w:r>
        <w:t>&gt; accessed 16 October 2026.</w:t>
      </w:r>
    </w:p>
  </w:footnote>
  <w:footnote w:id="2">
    <w:p w14:paraId="00CCBCED" w14:textId="77777777" w:rsidR="00CA1AC4" w:rsidRDefault="00CA1AC4" w:rsidP="00DA7B4F">
      <w:pPr>
        <w:pStyle w:val="FootnoteText"/>
        <w:jc w:val="both"/>
      </w:pPr>
      <w:r>
        <w:rPr>
          <w:rStyle w:val="FootnoteReference"/>
        </w:rPr>
        <w:footnoteRef/>
      </w:r>
      <w:r>
        <w:t xml:space="preserve"> ‘US Engaging Ghana to Review Rejected Health Compact Agreement—Mahama’ (Ghana News Agency, 10 October 2026) &lt;</w:t>
      </w:r>
      <w:hyperlink r:id="rId2">
        <w:r>
          <w:rPr>
            <w:rStyle w:val="Hyperlink"/>
          </w:rPr>
          <w:t>https://gna.org.gh/2026/10/us-engaging-ghana-to-review-rejected-health-compact-agreement-mahama/</w:t>
        </w:r>
      </w:hyperlink>
      <w:r>
        <w:t>&gt; accessed 16 October 2026; ‘Ghana Becomes the Latest African Country to Reject a US Health Deal’ (Associated Press, 1 May 2026) &lt;</w:t>
      </w:r>
      <w:hyperlink r:id="rId3">
        <w:r>
          <w:rPr>
            <w:rStyle w:val="Hyperlink"/>
          </w:rPr>
          <w:t>https://apnews.com/article/f29f680cc017204de9269159f34b250d</w:t>
        </w:r>
      </w:hyperlink>
      <w:r>
        <w:t>&gt; accessed 16 October 2026.</w:t>
      </w:r>
    </w:p>
  </w:footnote>
  <w:footnote w:id="3">
    <w:p w14:paraId="49788C7D" w14:textId="6828E8FB" w:rsidR="004433C2" w:rsidRDefault="004433C2" w:rsidP="00DA7B4F">
      <w:pPr>
        <w:pStyle w:val="FootnoteText"/>
        <w:jc w:val="both"/>
      </w:pPr>
      <w:r>
        <w:rPr>
          <w:rStyle w:val="FootnoteReference"/>
        </w:rPr>
        <w:footnoteRef/>
      </w:r>
      <w:r>
        <w:t xml:space="preserve">  Kenya,</w:t>
      </w:r>
      <w:r w:rsidR="00A66265">
        <w:t xml:space="preserve"> Rwanda and Uganda initially signed the deal.</w:t>
      </w:r>
      <w:r>
        <w:t xml:space="preserve"> Kenya initially faced a setback in implementing the deal because of legal actions instituted against the government over data privacy concerns. In 2026, however, the appellate court cleared the deal to proceed. See Reuters, ‘</w:t>
      </w:r>
      <w:r w:rsidR="00A66265" w:rsidRPr="00A66265">
        <w:t>Kenyan court suspends part of US health pact to hear data privacy case</w:t>
      </w:r>
      <w:r w:rsidR="00A66265">
        <w:t>’ (Dec. 2025)&lt;</w:t>
      </w:r>
      <w:r w:rsidR="00A66265" w:rsidRPr="00A66265">
        <w:t xml:space="preserve"> </w:t>
      </w:r>
      <w:hyperlink r:id="rId4" w:history="1">
        <w:r w:rsidR="00A66265" w:rsidRPr="00A72DD4">
          <w:rPr>
            <w:rStyle w:val="Hyperlink"/>
          </w:rPr>
          <w:t>https://www.reuters.com/business/healthcare-pharmaceuticals/kenyan-court-suspends-health-pact-with-us-hear-data-privacy-case-2025-12-11/</w:t>
        </w:r>
      </w:hyperlink>
      <w:r w:rsidR="00A66265">
        <w:t>&gt; accessed October 24, 2026; Samuel Ncube</w:t>
      </w:r>
      <w:r w:rsidR="004D05F3">
        <w:t>, ‘</w:t>
      </w:r>
      <w:r w:rsidR="004D05F3" w:rsidRPr="004D05F3">
        <w:t>Kenya Court Clears the US Health Deal</w:t>
      </w:r>
      <w:r w:rsidR="004D05F3">
        <w:t>’ (Oct. 13, 2026)&lt;</w:t>
      </w:r>
      <w:r w:rsidR="004D05F3" w:rsidRPr="004D05F3">
        <w:t xml:space="preserve"> </w:t>
      </w:r>
      <w:hyperlink r:id="rId5" w:history="1">
        <w:r w:rsidR="004D05F3" w:rsidRPr="00A72DD4">
          <w:rPr>
            <w:rStyle w:val="Hyperlink"/>
          </w:rPr>
          <w:t>https://www.riotimesonline.com/kenya-us-health-deal-court-of-appeal-2026/</w:t>
        </w:r>
      </w:hyperlink>
      <w:r w:rsidR="004D05F3">
        <w:t>&gt; accessed Oct. 24, 2026.</w:t>
      </w:r>
    </w:p>
  </w:footnote>
  <w:footnote w:id="4">
    <w:p w14:paraId="30B280B0" w14:textId="77777777" w:rsidR="00CA1AC4" w:rsidRDefault="00CA1AC4" w:rsidP="00DA7B4F">
      <w:pPr>
        <w:pStyle w:val="FootnoteText"/>
        <w:jc w:val="both"/>
      </w:pPr>
      <w:r>
        <w:rPr>
          <w:rStyle w:val="FootnoteReference"/>
        </w:rPr>
        <w:footnoteRef/>
      </w:r>
      <w:r>
        <w:t xml:space="preserve"> ‘US Engaging Ghana to Review Rejected Health Compact’ (n 2).</w:t>
      </w:r>
    </w:p>
  </w:footnote>
  <w:footnote w:id="5">
    <w:p w14:paraId="4AFFA6BF" w14:textId="1121F070" w:rsidR="004D05F3" w:rsidRDefault="004D05F3" w:rsidP="00DA7B4F">
      <w:pPr>
        <w:pStyle w:val="FootnoteText"/>
        <w:jc w:val="both"/>
      </w:pPr>
      <w:r>
        <w:rPr>
          <w:rStyle w:val="FootnoteReference"/>
        </w:rPr>
        <w:footnoteRef/>
      </w:r>
      <w:r>
        <w:t xml:space="preserve">  The United Nations, the World Trade Organization and the International Criminal Court, among other international institutions, have not been spared by the Trump administration.</w:t>
      </w:r>
    </w:p>
  </w:footnote>
  <w:footnote w:id="6">
    <w:p w14:paraId="4CACB9D0" w14:textId="57E989F8" w:rsidR="004D05F3" w:rsidRDefault="004D05F3" w:rsidP="00DA7B4F">
      <w:pPr>
        <w:pStyle w:val="FootnoteText"/>
        <w:jc w:val="both"/>
      </w:pPr>
      <w:r>
        <w:rPr>
          <w:rStyle w:val="FootnoteReference"/>
        </w:rPr>
        <w:footnoteRef/>
      </w:r>
      <w:r>
        <w:t xml:space="preserve">  The United Nations, formed in San Francisco after the Allies defeated Germany in 1945, was created at the behest of the United States, with most of the planning executed by Cordell Hull, then Secretary of State to President Franklin D. Roosevelt. Roosevelt would, however, die before the conference, and his vice president, Harry S. Truman, oversaw the creation of the UN. At the Bretton Woods Conference of July 1-22, 1944, US delegates would spearhead efforts to create an International Trade Organization. While this was not achieved, the conference did, of course, create the International Bank for Reconstruction and Development (now the World Bank) and the International Monetary Fund, which today form the architecture of the international financial system. The talks at Bretton Woods would also lead to the creation of GATT and now the WTO.</w:t>
      </w:r>
    </w:p>
  </w:footnote>
  <w:footnote w:id="7">
    <w:p w14:paraId="196144E5" w14:textId="77777777" w:rsidR="00CA1AC4" w:rsidRDefault="00CA1AC4" w:rsidP="00DA7B4F">
      <w:pPr>
        <w:pStyle w:val="FootnoteText"/>
        <w:jc w:val="both"/>
      </w:pPr>
      <w:r>
        <w:rPr>
          <w:rStyle w:val="FootnoteReference"/>
        </w:rPr>
        <w:footnoteRef/>
      </w:r>
      <w:r>
        <w:t xml:space="preserve"> Executive Order 14155 of 20 January 2025, Withdrawing the United States from the World Health Organization, 90 Fed Reg 8361 (29 January 2025); Executive Order 14162 of 20 January 2025, Putting America First in International Environmental Agreements, 90 Fed Reg 8455 (30 January 2025); Presidential Memorandum of 7 January 2026, Withdrawing the United States from International Organizations, Conventions, and Treaties that Are Contrary to the Interests of the United States, 91 Fed Reg 2281 (16 January 2026); ‘Trump Orders US Withdrawal from 66 International Organizations, Including UN Climate Bodies’ (Jurist, 8 January 2026) &lt;</w:t>
      </w:r>
      <w:hyperlink r:id="rId6">
        <w:r>
          <w:rPr>
            <w:rStyle w:val="Hyperlink"/>
          </w:rPr>
          <w:t>https://www.jurist.org/news/2026/01/trump-orders-us-withdrawal-from-66-international-organizations-including-un-climate-bodies/</w:t>
        </w:r>
      </w:hyperlink>
      <w:r>
        <w:t>&gt; accessed 16 October 2026.</w:t>
      </w:r>
    </w:p>
  </w:footnote>
  <w:footnote w:id="8">
    <w:p w14:paraId="439CC0FC" w14:textId="77777777" w:rsidR="00CA1AC4" w:rsidRDefault="00CA1AC4" w:rsidP="00DA7B4F">
      <w:pPr>
        <w:pStyle w:val="FootnoteText"/>
        <w:jc w:val="both"/>
      </w:pPr>
      <w:r>
        <w:rPr>
          <w:rStyle w:val="FootnoteReference"/>
        </w:rPr>
        <w:footnoteRef/>
      </w:r>
      <w:r>
        <w:t xml:space="preserve"> Executive Order 14257 of 2 April 2025, Regulating Imports with a Reciprocal Tariff to Rectify Trade Practices that Contribute to Large and Persistent Annual United States Goods Trade Deficits, 90 Fed Reg 15041 (7 April 2025); ‘Canada Races to Seal India Trade Pact by Year-End, Deepen EU Ties’ (Reuters, 14 October 2026) &lt;</w:t>
      </w:r>
      <w:hyperlink r:id="rId7">
        <w:r>
          <w:rPr>
            <w:rStyle w:val="Hyperlink"/>
          </w:rPr>
          <w:t>https://www.reuters.com/world/india/canada-races-seal-india-trade-pact-by-year-end-deepen-eu-ties-2026-10-14/</w:t>
        </w:r>
      </w:hyperlink>
      <w:r>
        <w:t>&gt; accessed 16 October 2026.</w:t>
      </w:r>
    </w:p>
  </w:footnote>
  <w:footnote w:id="9">
    <w:p w14:paraId="6FA45B6F" w14:textId="77777777" w:rsidR="00CA1AC4" w:rsidRDefault="00CA1AC4" w:rsidP="00DA7B4F">
      <w:pPr>
        <w:pStyle w:val="FootnoteText"/>
        <w:jc w:val="both"/>
      </w:pPr>
      <w:r>
        <w:rPr>
          <w:rStyle w:val="FootnoteReference"/>
        </w:rPr>
        <w:footnoteRef/>
      </w:r>
      <w:r>
        <w:t xml:space="preserve"> PwC, </w:t>
      </w:r>
      <w:r>
        <w:rPr>
          <w:i/>
        </w:rPr>
        <w:t>The World in 2050: The Long View—How Will the Global Economic Order Change by 2050?</w:t>
      </w:r>
      <w:r>
        <w:t xml:space="preserve"> (PwC 2017) &lt;</w:t>
      </w:r>
      <w:hyperlink r:id="rId8">
        <w:r>
          <w:rPr>
            <w:rStyle w:val="Hyperlink"/>
          </w:rPr>
          <w:t>https://www.pwc.com/content/pwc/script/gx/en/amp/issues/economy/the-world-in-2050.html</w:t>
        </w:r>
      </w:hyperlink>
      <w:r>
        <w:t>&gt; accessed 16 October 2026.</w:t>
      </w:r>
    </w:p>
  </w:footnote>
  <w:footnote w:id="10">
    <w:p w14:paraId="0F54B401" w14:textId="3E4E5AEE" w:rsidR="00BB5406" w:rsidRDefault="00BB5406" w:rsidP="00DA7B4F">
      <w:pPr>
        <w:pStyle w:val="FootnoteText"/>
        <w:jc w:val="both"/>
      </w:pPr>
      <w:r>
        <w:rPr>
          <w:rStyle w:val="FootnoteReference"/>
        </w:rPr>
        <w:footnoteRef/>
      </w:r>
      <w:r>
        <w:t xml:space="preserve">  It should be noted that this goal of sovereign equality is merely a political declaration without real commitment to seeing it through. Russia under Vladimir V. Putin is currently waging an unjustified war against Ukraine </w:t>
      </w:r>
      <w:proofErr w:type="gramStart"/>
      <w:r>
        <w:t>on the basis of</w:t>
      </w:r>
      <w:proofErr w:type="gramEnd"/>
      <w:r>
        <w:t xml:space="preserve"> territorial claims. China is preparing for war with Taiwan over the status of Taiwan’s independence. India and China, on the one hand, and Pakistan, on the other, have had persistent border disputes. Iran funds proxies such as the Houthis and Hamas in the Middle East to attack neighboring states.</w:t>
      </w:r>
    </w:p>
  </w:footnote>
  <w:footnote w:id="11">
    <w:p w14:paraId="3F8A3573" w14:textId="77777777" w:rsidR="00CA1AC4" w:rsidRDefault="00CA1AC4" w:rsidP="00DA7B4F">
      <w:pPr>
        <w:pStyle w:val="FootnoteText"/>
        <w:jc w:val="both"/>
      </w:pPr>
      <w:r>
        <w:rPr>
          <w:rStyle w:val="FootnoteReference"/>
        </w:rPr>
        <w:footnoteRef/>
      </w:r>
      <w:r>
        <w:t xml:space="preserve"> Information Services Department, ‘Foreign Affairs Minister Clarifies Ghana’s Intended BRICS Partner Country Status’ (12 October 2026) &lt;</w:t>
      </w:r>
      <w:hyperlink r:id="rId9">
        <w:r>
          <w:rPr>
            <w:rStyle w:val="Hyperlink"/>
          </w:rPr>
          <w:t>https://www.isd.gov.gh/foreign-affairs-minister-clarifies-ghanas-intended-brics-partner-country-status/</w:t>
        </w:r>
      </w:hyperlink>
      <w:r>
        <w:t>&gt; accessed 16 October 2026.</w:t>
      </w:r>
    </w:p>
  </w:footnote>
  <w:footnote w:id="12">
    <w:p w14:paraId="34314143" w14:textId="784580E6" w:rsidR="00CA1AC4" w:rsidRDefault="00CA1AC4" w:rsidP="00DA7B4F">
      <w:pPr>
        <w:pStyle w:val="FootnoteText"/>
        <w:jc w:val="both"/>
      </w:pPr>
      <w:r>
        <w:rPr>
          <w:rStyle w:val="FootnoteReference"/>
        </w:rPr>
        <w:footnoteRef/>
      </w:r>
      <w:r>
        <w:t xml:space="preserve">  Bureau of Industry and Security, ‘Implementation of Additional Export Controls: Certain Advanced Computing and Semiconductor Manufacturing Items’ 87 Fed Reg 62186 (13 October 2022); Council Regulation (EU) No 833/2014 of 31 July 2014 concerning restrictive measures in view of Russia’s actions </w:t>
      </w:r>
      <w:proofErr w:type="spellStart"/>
      <w:r>
        <w:t>destabilising</w:t>
      </w:r>
      <w:proofErr w:type="spellEnd"/>
      <w:r>
        <w:t xml:space="preserve"> the situation in Ukraine [2014] OJ L229/1; UNSC Res 2231 (20 July 2015) UN Doc S/RES/2231; Executive Order of 6 August 2025, Addressing Threats to the United States by the Government of the Russian Federation (imposing an additional 25 percent duty on imports from India); Executive Order of 30 July 2025 (imposing an additional 40 percent duty on imports from Brazil); see Thompson Hine, ‘Invoking IEEPA, President Trump Imposes an Additional 40% Tariff on Brazil’ (</w:t>
      </w:r>
      <w:proofErr w:type="spellStart"/>
      <w:r>
        <w:t>SmarTrade</w:t>
      </w:r>
      <w:proofErr w:type="spellEnd"/>
      <w:r>
        <w:t>, 2025) &lt;</w:t>
      </w:r>
      <w:hyperlink r:id="rId10">
        <w:r>
          <w:rPr>
            <w:rStyle w:val="Hyperlink"/>
          </w:rPr>
          <w:t>https://www.thompsonhinesmartrade.com/page/11</w:t>
        </w:r>
      </w:hyperlink>
      <w:r>
        <w:t>&gt; accessed 16 October 2026; Executive Order 14204 of 7 February 2025, Addressing Egregious Actions of the Republic of South Africa. Trump also notified South Africa’s President of his intention to withdraw South Africa from the benefits of the African Growth and Opportunity Act (AGOA), effective January 1, 2027.</w:t>
      </w:r>
    </w:p>
  </w:footnote>
  <w:footnote w:id="13">
    <w:p w14:paraId="60A181ED" w14:textId="77777777" w:rsidR="00CA1AC4" w:rsidRDefault="00CA1AC4" w:rsidP="00DA7B4F">
      <w:pPr>
        <w:pStyle w:val="FootnoteText"/>
        <w:jc w:val="both"/>
      </w:pPr>
      <w:r>
        <w:rPr>
          <w:rStyle w:val="FootnoteReference"/>
        </w:rPr>
        <w:footnoteRef/>
      </w:r>
      <w:r>
        <w:t xml:space="preserve"> </w:t>
      </w:r>
      <w:r w:rsidR="00FD62B8">
        <w:t>‘</w:t>
      </w:r>
      <w:r>
        <w:t>Modi Calls for BRICS Roadmap on Global Governance, Pushes UNSC Reform</w:t>
      </w:r>
      <w:r w:rsidR="00FD62B8">
        <w:t>’</w:t>
      </w:r>
      <w:r>
        <w:t xml:space="preserve"> (The Wire, 12 September 2026) &lt;</w:t>
      </w:r>
      <w:hyperlink r:id="rId11">
        <w:r>
          <w:rPr>
            <w:rStyle w:val="Hyperlink"/>
          </w:rPr>
          <w:t>https://thewire.in/diplomacy/modi-calls-for-brics-roadmap-on-global-governance-pushes-unsc-reform</w:t>
        </w:r>
      </w:hyperlink>
      <w:r>
        <w:t>&gt; accessed 16 October 2026; ‘Modi Says BRICS Must Avoid Being an Anti-West Group as It Grows’ (BNN Bloomberg, 24 October 2024) &lt;</w:t>
      </w:r>
      <w:hyperlink r:id="rId12">
        <w:r>
          <w:rPr>
            <w:rStyle w:val="Hyperlink"/>
          </w:rPr>
          <w:t>https://bnnbloomberg.ca/business/international/2024/10/24/modi-says-brics-must-avoid-being-an-anti-west-group-as-it-grows</w:t>
        </w:r>
      </w:hyperlink>
      <w:r>
        <w:t>&gt; accessed 16 October 2026.</w:t>
      </w:r>
    </w:p>
  </w:footnote>
  <w:footnote w:id="14">
    <w:p w14:paraId="2F025217" w14:textId="77777777" w:rsidR="00CA1AC4" w:rsidRDefault="00CA1AC4" w:rsidP="00DA7B4F">
      <w:pPr>
        <w:pStyle w:val="FootnoteText"/>
        <w:jc w:val="both"/>
      </w:pPr>
      <w:r>
        <w:rPr>
          <w:rStyle w:val="FootnoteReference"/>
        </w:rPr>
        <w:footnoteRef/>
      </w:r>
      <w:r>
        <w:t xml:space="preserve"> Matthew Mpoke Bigg, ‘Trump Threatens Extra Tariffs on BRICS-Aligned Countries’ </w:t>
      </w:r>
      <w:r>
        <w:rPr>
          <w:i/>
        </w:rPr>
        <w:t>New York Times</w:t>
      </w:r>
      <w:r>
        <w:t xml:space="preserve"> (New York, 7 July 2025).</w:t>
      </w:r>
    </w:p>
  </w:footnote>
  <w:footnote w:id="15">
    <w:p w14:paraId="071412E7" w14:textId="77777777" w:rsidR="00CA1AC4" w:rsidRDefault="00CA1AC4" w:rsidP="00DA7B4F">
      <w:pPr>
        <w:pStyle w:val="FootnoteText"/>
        <w:jc w:val="both"/>
      </w:pPr>
      <w:r>
        <w:rPr>
          <w:rStyle w:val="FootnoteReference"/>
        </w:rPr>
        <w:footnoteRef/>
      </w:r>
      <w:r>
        <w:t xml:space="preserve"> Final Communiqué of the </w:t>
      </w:r>
      <w:r w:rsidR="00A17CCF">
        <w:t>Asian African</w:t>
      </w:r>
      <w:r>
        <w:t xml:space="preserve"> Conference (Bandung, 24 April 1955); </w:t>
      </w:r>
      <w:proofErr w:type="spellStart"/>
      <w:r>
        <w:t>Encyclopaedia</w:t>
      </w:r>
      <w:proofErr w:type="spellEnd"/>
      <w:r>
        <w:t xml:space="preserve"> Britannica, ‘Bandung Conference’ &lt;</w:t>
      </w:r>
      <w:hyperlink r:id="rId13">
        <w:r>
          <w:rPr>
            <w:rStyle w:val="Hyperlink"/>
          </w:rPr>
          <w:t>https://www.britannica.com/event/Bandung-Conference</w:t>
        </w:r>
      </w:hyperlink>
      <w:r>
        <w:t>&gt; accessed 16 October 2026.</w:t>
      </w:r>
    </w:p>
  </w:footnote>
  <w:footnote w:id="16">
    <w:p w14:paraId="2825D387" w14:textId="77777777" w:rsidR="00CA1AC4" w:rsidRDefault="00CA1AC4" w:rsidP="00DA7B4F">
      <w:pPr>
        <w:pStyle w:val="FootnoteText"/>
        <w:jc w:val="both"/>
      </w:pPr>
      <w:r>
        <w:rPr>
          <w:rStyle w:val="FootnoteReference"/>
        </w:rPr>
        <w:footnoteRef/>
      </w:r>
      <w:r>
        <w:t xml:space="preserve"> Vijay Prashad, </w:t>
      </w:r>
      <w:r>
        <w:rPr>
          <w:i/>
        </w:rPr>
        <w:t>The Darker Nations: A People’s History of the Third World</w:t>
      </w:r>
      <w:r>
        <w:t xml:space="preserve"> (New Press 2007); Bandung Final Communiqué (n 11).</w:t>
      </w:r>
    </w:p>
  </w:footnote>
  <w:footnote w:id="17">
    <w:p w14:paraId="4E30B0F1" w14:textId="77777777" w:rsidR="00CA1AC4" w:rsidRDefault="00CA1AC4" w:rsidP="00DA7B4F">
      <w:pPr>
        <w:pStyle w:val="FootnoteText"/>
        <w:jc w:val="both"/>
      </w:pPr>
      <w:r>
        <w:rPr>
          <w:rStyle w:val="FootnoteReference"/>
        </w:rPr>
        <w:footnoteRef/>
      </w:r>
      <w:r>
        <w:t xml:space="preserve"> Kwame Nkrumah, </w:t>
      </w:r>
      <w:r>
        <w:rPr>
          <w:i/>
        </w:rPr>
        <w:t>Neo-Colonialism: The Last Stage of Imperialism</w:t>
      </w:r>
      <w:r>
        <w:t xml:space="preserve"> (Thomas Nelson &amp; Sons 1965).</w:t>
      </w:r>
    </w:p>
  </w:footnote>
  <w:footnote w:id="18">
    <w:p w14:paraId="3D00F1A8" w14:textId="07C00B2F" w:rsidR="00A17CCF" w:rsidRDefault="00A17CCF" w:rsidP="00DA7B4F">
      <w:pPr>
        <w:pStyle w:val="FootnoteText"/>
        <w:jc w:val="both"/>
      </w:pPr>
      <w:r>
        <w:rPr>
          <w:rStyle w:val="FootnoteReference"/>
        </w:rPr>
        <w:footnoteRef/>
      </w:r>
      <w:r>
        <w:t xml:space="preserve">  Kwame Nkrumah was overthrown on February 24, 1966, while on his way to Hanoi to broker peace in the Vietnam War. There is now no doubt that the coup that led to his overthrow was masterminded by the United States Central Intelligence Agency (CIA).</w:t>
      </w:r>
    </w:p>
  </w:footnote>
  <w:footnote w:id="19">
    <w:p w14:paraId="68438748" w14:textId="77777777" w:rsidR="00CA1AC4" w:rsidRDefault="00CA1AC4" w:rsidP="00DA7B4F">
      <w:pPr>
        <w:pStyle w:val="FootnoteText"/>
        <w:jc w:val="both"/>
      </w:pPr>
      <w:r>
        <w:rPr>
          <w:rStyle w:val="FootnoteReference"/>
        </w:rPr>
        <w:footnoteRef/>
      </w:r>
      <w:r>
        <w:t xml:space="preserve"> ‘Extra IMF Seat Is a Start, Say African Leaders’ (BusinessDay, 31 October 2024) &lt;</w:t>
      </w:r>
      <w:hyperlink r:id="rId14">
        <w:r>
          <w:rPr>
            <w:rStyle w:val="Hyperlink"/>
          </w:rPr>
          <w:t>https://www.businessday.co.za/bd/world/africa/2024-10-31-extra-imf-seat-is-a-start-say-african-leaders/</w:t>
        </w:r>
      </w:hyperlink>
      <w:r>
        <w:t>&gt; accessed 16 October 2026.</w:t>
      </w:r>
    </w:p>
  </w:footnote>
  <w:footnote w:id="20">
    <w:p w14:paraId="01A9B96A" w14:textId="77777777" w:rsidR="00CA1AC4" w:rsidRDefault="00CA1AC4" w:rsidP="00DA7B4F">
      <w:pPr>
        <w:pStyle w:val="FootnoteText"/>
        <w:jc w:val="both"/>
      </w:pPr>
      <w:r>
        <w:rPr>
          <w:rStyle w:val="FootnoteReference"/>
        </w:rPr>
        <w:footnoteRef/>
      </w:r>
      <w:r>
        <w:t xml:space="preserve"> African Union Executive Council, ‘The Common African Position on the Proposed Reform of the United Nations: “The </w:t>
      </w:r>
      <w:proofErr w:type="spellStart"/>
      <w:r>
        <w:t>Ezulwini</w:t>
      </w:r>
      <w:proofErr w:type="spellEnd"/>
      <w:r>
        <w:t xml:space="preserve"> Consensus”’ (7–8 March 2005) Ext/EX.CL/2(VII)</w:t>
      </w:r>
      <w:r w:rsidR="006F3206">
        <w:t>&lt;</w:t>
      </w:r>
      <w:r w:rsidR="006F3206" w:rsidRPr="006F3206">
        <w:t xml:space="preserve"> </w:t>
      </w:r>
      <w:hyperlink r:id="rId15" w:history="1">
        <w:r w:rsidR="006F3206" w:rsidRPr="00903225">
          <w:rPr>
            <w:rStyle w:val="Hyperlink"/>
          </w:rPr>
          <w:t>https://au.int/sites/default/files/decisions/9553-assembly_en_4_august_2005_auc_fourth_exteraordinary_session_decisions.pdf</w:t>
        </w:r>
      </w:hyperlink>
      <w:r w:rsidR="006F3206">
        <w:t>.&gt; accessed 16 October 2026.</w:t>
      </w:r>
    </w:p>
  </w:footnote>
  <w:footnote w:id="21">
    <w:p w14:paraId="673ACC55" w14:textId="6D79C364" w:rsidR="00CA1AC4" w:rsidRDefault="00CA1AC4" w:rsidP="00DA7B4F">
      <w:pPr>
        <w:pStyle w:val="FootnoteText"/>
        <w:jc w:val="both"/>
      </w:pPr>
      <w:r>
        <w:rPr>
          <w:rStyle w:val="FootnoteReference"/>
        </w:rPr>
        <w:footnoteRef/>
      </w:r>
      <w:r>
        <w:t xml:space="preserve">  UNCTAD, </w:t>
      </w:r>
      <w:r>
        <w:rPr>
          <w:i/>
        </w:rPr>
        <w:t>A World of Debt 2024: A Growing Burden to Global Prosperity</w:t>
      </w:r>
      <w:r>
        <w:t xml:space="preserve"> (UNCTAD </w:t>
      </w:r>
      <w:r w:rsidR="006F3206">
        <w:t>2024) &lt;</w:t>
      </w:r>
      <w:r w:rsidR="006F3206" w:rsidRPr="006F3206">
        <w:t xml:space="preserve"> </w:t>
      </w:r>
      <w:hyperlink r:id="rId16" w:history="1">
        <w:r w:rsidR="006F3206" w:rsidRPr="00903225">
          <w:rPr>
            <w:rStyle w:val="Hyperlink"/>
          </w:rPr>
          <w:t>https://unctad.org/publication/world-debt-2024</w:t>
        </w:r>
      </w:hyperlink>
      <w:r>
        <w:t>&gt; accessed 16 October 2026, finding that almost a third of global public debt is owed by developing countries.</w:t>
      </w:r>
    </w:p>
  </w:footnote>
  <w:footnote w:id="22">
    <w:p w14:paraId="55BDB4E4" w14:textId="77777777" w:rsidR="00CA1AC4" w:rsidRDefault="00CA1AC4" w:rsidP="00DA7B4F">
      <w:pPr>
        <w:pStyle w:val="FootnoteText"/>
        <w:jc w:val="both"/>
      </w:pPr>
      <w:r>
        <w:rPr>
          <w:rStyle w:val="FootnoteReference"/>
        </w:rPr>
        <w:footnoteRef/>
      </w:r>
      <w:r>
        <w:t xml:space="preserve"> Sebastian Horn, Carmen M Reinhart and Christoph Trebesch, ‘China</w:t>
      </w:r>
      <w:r w:rsidR="006F3206">
        <w:t>’</w:t>
      </w:r>
      <w:r>
        <w:t>s Overseas Lending’ (2021) 133 Journal of International Economics 103539.</w:t>
      </w:r>
    </w:p>
  </w:footnote>
  <w:footnote w:id="23">
    <w:p w14:paraId="69D1763A" w14:textId="77777777" w:rsidR="00CA1AC4" w:rsidRDefault="00CA1AC4" w:rsidP="00DA7B4F">
      <w:pPr>
        <w:pStyle w:val="FootnoteText"/>
        <w:jc w:val="both"/>
      </w:pPr>
      <w:r>
        <w:rPr>
          <w:rStyle w:val="FootnoteReference"/>
        </w:rPr>
        <w:footnoteRef/>
      </w:r>
      <w:r>
        <w:t xml:space="preserve"> Institute of South Asian Studies, ‘India’s New Alignment: Non-West but Not Anti-West’ (ISAS Brief 1104, National University of Singapore 2024) &lt;</w:t>
      </w:r>
      <w:hyperlink r:id="rId17">
        <w:r>
          <w:rPr>
            <w:rStyle w:val="Hyperlink"/>
          </w:rPr>
          <w:t>https://www.isas.nus.edu.sg/papers/indias-new-alignment-non-west-but-not-anti-west/</w:t>
        </w:r>
      </w:hyperlink>
      <w:r>
        <w:t>&gt; accessed 16 October 2026.</w:t>
      </w:r>
    </w:p>
  </w:footnote>
  <w:footnote w:id="24">
    <w:p w14:paraId="23B18263" w14:textId="77777777" w:rsidR="00CA1AC4" w:rsidRDefault="00CA1AC4" w:rsidP="00DA7B4F">
      <w:pPr>
        <w:pStyle w:val="FootnoteText"/>
        <w:jc w:val="both"/>
      </w:pPr>
      <w:r>
        <w:rPr>
          <w:rStyle w:val="FootnoteReference"/>
        </w:rPr>
        <w:footnoteRef/>
      </w:r>
      <w:r>
        <w:t xml:space="preserve"> </w:t>
      </w:r>
      <w:r w:rsidR="0059437D">
        <w:t>‘</w:t>
      </w:r>
      <w:r>
        <w:t>UAE Raises Stakes in Competition for the Lucrative African Market’ (The East African, 6 August 2023) &lt;</w:t>
      </w:r>
      <w:hyperlink r:id="rId18">
        <w:r>
          <w:rPr>
            <w:rStyle w:val="Hyperlink"/>
          </w:rPr>
          <w:t>https://www.theeastafrican.co.ke/tea/business/uae-raises-stakes-in-competition-for-african-market-4326896</w:t>
        </w:r>
      </w:hyperlink>
      <w:r>
        <w:t>&gt; accessed 16 October 2026.</w:t>
      </w:r>
    </w:p>
  </w:footnote>
  <w:footnote w:id="25">
    <w:p w14:paraId="6BE3D858" w14:textId="77777777" w:rsidR="00CA1AC4" w:rsidRDefault="00CA1AC4" w:rsidP="00DA7B4F">
      <w:pPr>
        <w:pStyle w:val="FootnoteText"/>
        <w:jc w:val="both"/>
      </w:pPr>
      <w:r>
        <w:rPr>
          <w:rStyle w:val="FootnoteReference"/>
        </w:rPr>
        <w:footnoteRef/>
      </w:r>
      <w:r>
        <w:t xml:space="preserve"> Anu Bradford, </w:t>
      </w:r>
      <w:r>
        <w:rPr>
          <w:i/>
        </w:rPr>
        <w:t>The Brussels Effect: How the European Union Rules the World</w:t>
      </w:r>
      <w:r>
        <w:t xml:space="preserve"> (OUP 2020).</w:t>
      </w:r>
    </w:p>
  </w:footnote>
  <w:footnote w:id="26">
    <w:p w14:paraId="1EEF93A5" w14:textId="3120488A" w:rsidR="00CA1AC4" w:rsidRDefault="00CA1AC4" w:rsidP="00DA7B4F">
      <w:pPr>
        <w:pStyle w:val="FootnoteText"/>
        <w:jc w:val="both"/>
      </w:pPr>
      <w:r>
        <w:rPr>
          <w:rStyle w:val="FootnoteReference"/>
        </w:rPr>
        <w:footnoteRef/>
      </w:r>
      <w:r>
        <w:t xml:space="preserve">  Stockholm International Peace Research Institute, ‘Trends in World Military Expenditure, 2024’ (SIPRI Fact Sheet, April </w:t>
      </w:r>
      <w:proofErr w:type="gramStart"/>
      <w:r>
        <w:t>2025)</w:t>
      </w:r>
      <w:r w:rsidR="0059437D">
        <w:t>&lt;</w:t>
      </w:r>
      <w:proofErr w:type="gramEnd"/>
      <w:r w:rsidR="0059437D" w:rsidRPr="0059437D">
        <w:t xml:space="preserve"> </w:t>
      </w:r>
      <w:hyperlink r:id="rId19" w:history="1">
        <w:r w:rsidR="0059437D" w:rsidRPr="00903225">
          <w:rPr>
            <w:rStyle w:val="Hyperlink"/>
          </w:rPr>
          <w:t>https://www.sipri.org/publications/2025/sipri-fact-sheets/trends-world-military-expenditure-2024</w:t>
        </w:r>
      </w:hyperlink>
      <w:r w:rsidR="0059437D">
        <w:t>&gt;accessed 16 October 2026</w:t>
      </w:r>
      <w:r>
        <w:t>, finding that military spending increased across geographical regions in 2024, with the US and China dominating the list.</w:t>
      </w:r>
    </w:p>
  </w:footnote>
  <w:footnote w:id="27">
    <w:p w14:paraId="67FFD52A" w14:textId="77777777" w:rsidR="00CA1AC4" w:rsidRDefault="00CA1AC4" w:rsidP="00DA7B4F">
      <w:pPr>
        <w:pStyle w:val="FootnoteText"/>
        <w:jc w:val="both"/>
      </w:pPr>
      <w:r>
        <w:rPr>
          <w:rStyle w:val="FootnoteReference"/>
        </w:rPr>
        <w:footnoteRef/>
      </w:r>
      <w:r>
        <w:t xml:space="preserve"> BRICS </w:t>
      </w:r>
      <w:proofErr w:type="spellStart"/>
      <w:r>
        <w:t>Brasil</w:t>
      </w:r>
      <w:proofErr w:type="spellEnd"/>
      <w:r>
        <w:t>, ‘About the BRICS’ &lt;</w:t>
      </w:r>
      <w:r w:rsidR="00995311" w:rsidRPr="00995311">
        <w:t xml:space="preserve"> </w:t>
      </w:r>
      <w:hyperlink r:id="rId20" w:history="1">
        <w:r w:rsidR="00995311" w:rsidRPr="00903225">
          <w:rPr>
            <w:rStyle w:val="Hyperlink"/>
          </w:rPr>
          <w:t>https://bricsbrasil.com.br/en/</w:t>
        </w:r>
      </w:hyperlink>
      <w:r w:rsidR="00995311">
        <w:t xml:space="preserve">  </w:t>
      </w:r>
      <w:r>
        <w:t>&gt; accessed 16 October 2026.</w:t>
      </w:r>
    </w:p>
  </w:footnote>
  <w:footnote w:id="28">
    <w:p w14:paraId="5CA19D40" w14:textId="77777777" w:rsidR="00CA1AC4" w:rsidRDefault="00CA1AC4" w:rsidP="00DA7B4F">
      <w:pPr>
        <w:pStyle w:val="FootnoteText"/>
        <w:jc w:val="both"/>
      </w:pPr>
      <w:r>
        <w:rPr>
          <w:rStyle w:val="FootnoteReference"/>
        </w:rPr>
        <w:footnoteRef/>
      </w:r>
      <w:r>
        <w:t xml:space="preserve"> BRICS </w:t>
      </w:r>
      <w:proofErr w:type="spellStart"/>
      <w:r>
        <w:t>Brasil</w:t>
      </w:r>
      <w:proofErr w:type="spellEnd"/>
      <w:r>
        <w:t>, ‘About the BRICS’ (n 22); BRICS, ‘New Delhi Declaration: Building for Resilience, Innovation, Cooperation and Sustainability’ (New Delhi, 12 September 2026) &lt;</w:t>
      </w:r>
      <w:hyperlink r:id="rId21">
        <w:r>
          <w:rPr>
            <w:rStyle w:val="Hyperlink"/>
          </w:rPr>
          <w:t>https://www.pmindia.gov.in/en/news_updates/brics-new-delhi-declaration-building-for-resilience-innovation-cooperation-and-sustainability-september-12-2026/</w:t>
        </w:r>
      </w:hyperlink>
      <w:r>
        <w:t>&gt; accessed 16 October 2026.</w:t>
      </w:r>
    </w:p>
  </w:footnote>
  <w:footnote w:id="29">
    <w:p w14:paraId="3F1A76CB" w14:textId="77777777" w:rsidR="00CA1AC4" w:rsidRDefault="00CA1AC4" w:rsidP="00DA7B4F">
      <w:pPr>
        <w:pStyle w:val="FootnoteText"/>
        <w:jc w:val="both"/>
      </w:pPr>
      <w:r>
        <w:rPr>
          <w:rStyle w:val="FootnoteReference"/>
        </w:rPr>
        <w:footnoteRef/>
      </w:r>
      <w:r>
        <w:t xml:space="preserve"> BRICS </w:t>
      </w:r>
      <w:proofErr w:type="spellStart"/>
      <w:r>
        <w:t>Brasil</w:t>
      </w:r>
      <w:proofErr w:type="spellEnd"/>
      <w:r>
        <w:t xml:space="preserve">, ‘About the BRICS’ (n 22); Oliver Stuenkel, </w:t>
      </w:r>
      <w:r>
        <w:rPr>
          <w:i/>
        </w:rPr>
        <w:t>The BRICS and the Future of Global Order</w:t>
      </w:r>
      <w:r>
        <w:t xml:space="preserve"> (2nd </w:t>
      </w:r>
      <w:proofErr w:type="spellStart"/>
      <w:r>
        <w:t>edn</w:t>
      </w:r>
      <w:proofErr w:type="spellEnd"/>
      <w:r>
        <w:t>, Lexington Books 2020).</w:t>
      </w:r>
    </w:p>
  </w:footnote>
  <w:footnote w:id="30">
    <w:p w14:paraId="754C1BB7" w14:textId="77777777" w:rsidR="00CA1AC4" w:rsidRDefault="00CA1AC4" w:rsidP="00DA7B4F">
      <w:pPr>
        <w:pStyle w:val="FootnoteText"/>
        <w:jc w:val="both"/>
      </w:pPr>
      <w:r>
        <w:rPr>
          <w:rStyle w:val="FootnoteReference"/>
        </w:rPr>
        <w:footnoteRef/>
      </w:r>
      <w:r>
        <w:t xml:space="preserve"> ‘UAE, India Lead Ghana’s Export Markets’ (Citi Newsroom, April 2026) &lt;</w:t>
      </w:r>
      <w:hyperlink r:id="rId22">
        <w:r>
          <w:rPr>
            <w:rStyle w:val="Hyperlink"/>
          </w:rPr>
          <w:t>https://citinewsroom.com/2026/04/uae-india-lead-ghanas-export-markets/</w:t>
        </w:r>
      </w:hyperlink>
      <w:r>
        <w:t>&gt; accessed 16 October 2026</w:t>
      </w:r>
      <w:r w:rsidR="00760E2E">
        <w:t>; Solomon Boakye, ‘F</w:t>
      </w:r>
      <w:r w:rsidR="00760E2E" w:rsidRPr="00760E2E">
        <w:t>our Markets Take 99.8% of Ghana’s Gold Exports in Q2</w:t>
      </w:r>
      <w:r w:rsidR="00760E2E">
        <w:t>’&lt;</w:t>
      </w:r>
      <w:r w:rsidR="00760E2E" w:rsidRPr="00760E2E">
        <w:t xml:space="preserve"> </w:t>
      </w:r>
      <w:hyperlink r:id="rId23" w:history="1">
        <w:r w:rsidR="00760E2E" w:rsidRPr="00903225">
          <w:rPr>
            <w:rStyle w:val="Hyperlink"/>
          </w:rPr>
          <w:t>https://thehighstreetjournal.com/four-markets-take-99-8-of-ghanas-gold-exports-in-q2/</w:t>
        </w:r>
      </w:hyperlink>
      <w:r w:rsidR="00760E2E">
        <w:t>&gt; accessed 16 October 2026.</w:t>
      </w:r>
    </w:p>
  </w:footnote>
  <w:footnote w:id="31">
    <w:p w14:paraId="03D030BF" w14:textId="77777777" w:rsidR="00CA1AC4" w:rsidRDefault="00CA1AC4" w:rsidP="00DA7B4F">
      <w:pPr>
        <w:pStyle w:val="FootnoteText"/>
        <w:jc w:val="both"/>
      </w:pPr>
      <w:r>
        <w:rPr>
          <w:rStyle w:val="FootnoteReference"/>
        </w:rPr>
        <w:footnoteRef/>
      </w:r>
      <w:r>
        <w:t xml:space="preserve"> ‘</w:t>
      </w:r>
      <w:proofErr w:type="spellStart"/>
      <w:r>
        <w:t>Ablakwa</w:t>
      </w:r>
      <w:proofErr w:type="spellEnd"/>
      <w:r>
        <w:t xml:space="preserve"> Says Cabinet Has Approved Ghana’s Bid to Join BRICS’ (Graphic Online, October 2026) &lt;</w:t>
      </w:r>
      <w:hyperlink r:id="rId24">
        <w:r>
          <w:rPr>
            <w:rStyle w:val="Hyperlink"/>
          </w:rPr>
          <w:t>https://graphic.com.gh/news/politics/ablakwa-says-cabinet-has-approved-ghanas-bid-to-join-brics.html</w:t>
        </w:r>
      </w:hyperlink>
      <w:r>
        <w:t>&gt; accessed 16 October 2026</w:t>
      </w:r>
      <w:r w:rsidR="00760E2E">
        <w:t>; Jennifer Ambolley, ‘</w:t>
      </w:r>
      <w:r w:rsidR="00760E2E" w:rsidRPr="00760E2E">
        <w:t>UAE, India Lead Ghana’s Export Markets</w:t>
      </w:r>
      <w:r w:rsidR="00760E2E">
        <w:t>’&lt;</w:t>
      </w:r>
      <w:r w:rsidR="00760E2E" w:rsidRPr="00760E2E">
        <w:t xml:space="preserve"> </w:t>
      </w:r>
      <w:hyperlink r:id="rId25" w:history="1">
        <w:r w:rsidR="00760E2E" w:rsidRPr="00903225">
          <w:rPr>
            <w:rStyle w:val="Hyperlink"/>
          </w:rPr>
          <w:t>https://thechronicle.com.gh/uae-india-lead-ghanas-export-markets/</w:t>
        </w:r>
      </w:hyperlink>
      <w:r w:rsidR="00760E2E">
        <w:t>&gt; accessed 16 October 2026.</w:t>
      </w:r>
    </w:p>
  </w:footnote>
  <w:footnote w:id="32">
    <w:p w14:paraId="64EACD33" w14:textId="77777777" w:rsidR="00CA1AC4" w:rsidRDefault="00CA1AC4" w:rsidP="00DA7B4F">
      <w:pPr>
        <w:pStyle w:val="FootnoteText"/>
        <w:jc w:val="both"/>
      </w:pPr>
      <w:r>
        <w:rPr>
          <w:rStyle w:val="FootnoteReference"/>
        </w:rPr>
        <w:footnoteRef/>
      </w:r>
      <w:r>
        <w:t xml:space="preserve"> ‘China’s Zero-Tariff Regime Expands Market for Ghanaian Goods’ (Ghana News Agency, 16 February 2026) &lt;</w:t>
      </w:r>
      <w:hyperlink r:id="rId26">
        <w:r>
          <w:rPr>
            <w:rStyle w:val="Hyperlink"/>
          </w:rPr>
          <w:t>https://gna.org.gh/2026/02/chinas-zero-tariff-regime-expands-market-for-ghanaian-goods/</w:t>
        </w:r>
      </w:hyperlink>
      <w:r>
        <w:t>&gt; accessed 16 October 2026; ‘Chinese Ambassador Outlines Path for Ghana under Zero-Tariff Policy’ (Ghana News Agency, 28 August 2026) &lt;</w:t>
      </w:r>
      <w:hyperlink r:id="rId27">
        <w:r>
          <w:rPr>
            <w:rStyle w:val="Hyperlink"/>
          </w:rPr>
          <w:t>https://gna.org.gh/2026/08/chinese-ambassador-outlines-path-for-ghana-under-zero-tariff-policy/</w:t>
        </w:r>
      </w:hyperlink>
      <w:r>
        <w:t>&gt; accessed 16 October 2026.</w:t>
      </w:r>
    </w:p>
  </w:footnote>
  <w:footnote w:id="33">
    <w:p w14:paraId="1ECF181D" w14:textId="77777777" w:rsidR="00CA1AC4" w:rsidRDefault="00CA1AC4" w:rsidP="00DA7B4F">
      <w:pPr>
        <w:pStyle w:val="FootnoteText"/>
        <w:jc w:val="both"/>
      </w:pPr>
      <w:r>
        <w:rPr>
          <w:rStyle w:val="FootnoteReference"/>
        </w:rPr>
        <w:footnoteRef/>
      </w:r>
      <w:r>
        <w:t xml:space="preserve"> BRICS </w:t>
      </w:r>
      <w:proofErr w:type="spellStart"/>
      <w:r>
        <w:t>Brasil</w:t>
      </w:r>
      <w:proofErr w:type="spellEnd"/>
      <w:r>
        <w:t>, ‘Nine Nations Announced as BRICS Partner Countries’ (17 January 2025) &lt;</w:t>
      </w:r>
      <w:hyperlink r:id="rId28">
        <w:r>
          <w:rPr>
            <w:rStyle w:val="Hyperlink"/>
          </w:rPr>
          <w:t>https://brics.br/en/news/nine-nations-announced-as-brics-partner-countries</w:t>
        </w:r>
      </w:hyperlink>
      <w:r>
        <w:t>&gt; accessed 16 October 2026.</w:t>
      </w:r>
    </w:p>
  </w:footnote>
  <w:footnote w:id="34">
    <w:p w14:paraId="09DCCA4F" w14:textId="77777777" w:rsidR="00CA1AC4" w:rsidRDefault="00CA1AC4" w:rsidP="00DA7B4F">
      <w:pPr>
        <w:pStyle w:val="FootnoteText"/>
        <w:jc w:val="both"/>
      </w:pPr>
      <w:r>
        <w:rPr>
          <w:rStyle w:val="FootnoteReference"/>
        </w:rPr>
        <w:footnoteRef/>
      </w:r>
      <w:r>
        <w:t xml:space="preserve"> Information Services Department (n 7).</w:t>
      </w:r>
    </w:p>
  </w:footnote>
  <w:footnote w:id="35">
    <w:p w14:paraId="7649EDE5" w14:textId="77777777" w:rsidR="00D63549" w:rsidRDefault="00D63549" w:rsidP="00DA7B4F">
      <w:pPr>
        <w:pStyle w:val="FootnoteText"/>
        <w:jc w:val="both"/>
      </w:pPr>
      <w:r>
        <w:rPr>
          <w:rStyle w:val="FootnoteReference"/>
        </w:rPr>
        <w:footnoteRef/>
      </w:r>
      <w:r>
        <w:t xml:space="preserve"> Stuenkel (n 24); see Niall Duggan and others, ‘Introduction: The BRICS, Global Governance, and Challenges for South–South Cooperation in a Post-Western World’ (2022) 43 International Political Science Review 469.</w:t>
      </w:r>
    </w:p>
  </w:footnote>
  <w:footnote w:id="36">
    <w:p w14:paraId="0D38690C" w14:textId="77777777" w:rsidR="00D63549" w:rsidRDefault="00D63549" w:rsidP="00DA7B4F">
      <w:pPr>
        <w:pStyle w:val="FootnoteText"/>
        <w:jc w:val="both"/>
      </w:pPr>
      <w:r>
        <w:rPr>
          <w:rStyle w:val="FootnoteReference"/>
        </w:rPr>
        <w:footnoteRef/>
      </w:r>
      <w:r>
        <w:t xml:space="preserve"> New Development Bank, </w:t>
      </w:r>
      <w:r>
        <w:rPr>
          <w:rStyle w:val="Emphasis"/>
        </w:rPr>
        <w:t>Annual Report 2025: Reflecting on the First Golden Decade—Preparing for the Future</w:t>
      </w:r>
      <w:r>
        <w:t xml:space="preserve"> (NDB 2026) 8 n 2, 18, 52, 80, 181–89 </w:t>
      </w:r>
      <w:hyperlink r:id="rId29" w:history="1">
        <w:r>
          <w:rPr>
            <w:rStyle w:val="Hyperlink"/>
          </w:rPr>
          <w:t>https://www.ndb.int/wp-content/uploads/2026/07/NDB_AnnualReport2025.pdf</w:t>
        </w:r>
      </w:hyperlink>
      <w:r>
        <w:t xml:space="preserve"> accessed 16 October 2026.</w:t>
      </w:r>
    </w:p>
  </w:footnote>
  <w:footnote w:id="37">
    <w:p w14:paraId="4822B8C4" w14:textId="77777777" w:rsidR="00D63549" w:rsidRDefault="00D63549" w:rsidP="00DA7B4F">
      <w:pPr>
        <w:pStyle w:val="FootnoteText"/>
        <w:jc w:val="both"/>
      </w:pPr>
      <w:r>
        <w:rPr>
          <w:rStyle w:val="FootnoteReference"/>
        </w:rPr>
        <w:footnoteRef/>
      </w:r>
      <w:r>
        <w:t xml:space="preserve"> ibid.</w:t>
      </w:r>
    </w:p>
  </w:footnote>
  <w:footnote w:id="38">
    <w:p w14:paraId="77171503" w14:textId="77777777" w:rsidR="00D63549" w:rsidRDefault="00D63549" w:rsidP="00DA7B4F">
      <w:pPr>
        <w:pStyle w:val="FootnoteText"/>
        <w:jc w:val="both"/>
      </w:pPr>
      <w:r>
        <w:rPr>
          <w:rStyle w:val="FootnoteReference"/>
        </w:rPr>
        <w:footnoteRef/>
      </w:r>
      <w:r>
        <w:t xml:space="preserve"> Paulo Nogueira Batista Jr, remarks on the BRICS financial institutions (Grupo de </w:t>
      </w:r>
      <w:proofErr w:type="spellStart"/>
      <w:r>
        <w:t>Estudos</w:t>
      </w:r>
      <w:proofErr w:type="spellEnd"/>
      <w:r>
        <w:t xml:space="preserve"> </w:t>
      </w:r>
      <w:proofErr w:type="spellStart"/>
      <w:r>
        <w:t>sobre</w:t>
      </w:r>
      <w:proofErr w:type="spellEnd"/>
      <w:r>
        <w:t xml:space="preserve"> </w:t>
      </w:r>
      <w:proofErr w:type="spellStart"/>
      <w:r>
        <w:t>os</w:t>
      </w:r>
      <w:proofErr w:type="spellEnd"/>
      <w:r>
        <w:t xml:space="preserve"> BRICS, University of São Paulo) &lt;</w:t>
      </w:r>
      <w:hyperlink r:id="rId30">
        <w:r>
          <w:rPr>
            <w:rStyle w:val="Hyperlink"/>
          </w:rPr>
          <w:t>https://sites.usp.br/gebrics/?p=661</w:t>
        </w:r>
      </w:hyperlink>
      <w:r>
        <w:t>&gt; accessed 16 October 2026.</w:t>
      </w:r>
    </w:p>
  </w:footnote>
  <w:footnote w:id="39">
    <w:p w14:paraId="4B8DFDD0" w14:textId="3E8BA914" w:rsidR="00D63549" w:rsidRDefault="00D63549" w:rsidP="00DA7B4F">
      <w:pPr>
        <w:pStyle w:val="FootnoteText"/>
        <w:jc w:val="both"/>
      </w:pPr>
      <w:r>
        <w:rPr>
          <w:rStyle w:val="FootnoteReference"/>
        </w:rPr>
        <w:footnoteRef/>
      </w:r>
      <w:r>
        <w:t xml:space="preserve">  New Development Bank Independent Evaluation Office, ‘Evaluation Lens, Issue 8: China—</w:t>
      </w:r>
      <w:proofErr w:type="spellStart"/>
      <w:r>
        <w:t>Putian</w:t>
      </w:r>
      <w:proofErr w:type="spellEnd"/>
      <w:r>
        <w:t xml:space="preserve"> </w:t>
      </w:r>
      <w:proofErr w:type="spellStart"/>
      <w:r>
        <w:t>Pinghai</w:t>
      </w:r>
      <w:proofErr w:type="spellEnd"/>
      <w:r>
        <w:t xml:space="preserve"> Bay Offshore Wind Power Project’ (NDB, August 2024) </w:t>
      </w:r>
      <w:hyperlink r:id="rId31" w:history="1">
        <w:r>
          <w:rPr>
            <w:rStyle w:val="Hyperlink"/>
          </w:rPr>
          <w:t>https://www.ndb.int/wp-content/uploads/2024/09/Evaluation-Lens-Issue-8_China-Putian-Bay-Offshore_PT.pdf</w:t>
        </w:r>
      </w:hyperlink>
      <w:r>
        <w:t xml:space="preserve"> accessed 16 October 2026.</w:t>
      </w:r>
    </w:p>
  </w:footnote>
  <w:footnote w:id="40">
    <w:p w14:paraId="214EF9CB" w14:textId="41449D98" w:rsidR="00D63549" w:rsidRDefault="00D63549" w:rsidP="00DA7B4F">
      <w:pPr>
        <w:pStyle w:val="FootnoteText"/>
        <w:jc w:val="both"/>
      </w:pPr>
      <w:r>
        <w:rPr>
          <w:rStyle w:val="FootnoteReference"/>
        </w:rPr>
        <w:footnoteRef/>
      </w:r>
      <w:r>
        <w:t xml:space="preserve">  ‘NDB Loan for Delhi–Meerut RRTS’ (</w:t>
      </w:r>
      <w:proofErr w:type="spellStart"/>
      <w:r>
        <w:t>Architexturez</w:t>
      </w:r>
      <w:proofErr w:type="spellEnd"/>
      <w:r>
        <w:t xml:space="preserve">) </w:t>
      </w:r>
      <w:hyperlink r:id="rId32" w:history="1">
        <w:r>
          <w:rPr>
            <w:rStyle w:val="Hyperlink"/>
          </w:rPr>
          <w:t>https://architexturez.net/node/211811</w:t>
        </w:r>
      </w:hyperlink>
      <w:r>
        <w:t xml:space="preserve"> accessed 16 October 2026; Alstom, ‘Alstom Delivers India’s First Semi High-Speed Regional Train for Delhi–Meerut RRTS Project’ (Press Release, 7 May 2022). It must, however, be noted that this project was co-funded by three sponsors: the NDB provided US$500 million, the Asian Development Bank provided US$1 billion, and the Asian Infrastructure Investment Bank (AIIB) committed US$500 million toward the project.</w:t>
      </w:r>
    </w:p>
  </w:footnote>
  <w:footnote w:id="41">
    <w:p w14:paraId="6DD1A36E" w14:textId="77777777" w:rsidR="00D63549" w:rsidRDefault="00D63549" w:rsidP="00DA7B4F">
      <w:pPr>
        <w:pStyle w:val="FootnoteText"/>
        <w:jc w:val="both"/>
      </w:pPr>
      <w:r>
        <w:rPr>
          <w:rStyle w:val="FootnoteReference"/>
        </w:rPr>
        <w:footnoteRef/>
      </w:r>
      <w:r>
        <w:t xml:space="preserve"> </w:t>
      </w:r>
      <w:r w:rsidR="00C10A97">
        <w:t>N</w:t>
      </w:r>
      <w:r>
        <w:t xml:space="preserve">ew Development Bank Independent Evaluation Office, </w:t>
      </w:r>
      <w:r>
        <w:rPr>
          <w:rStyle w:val="Emphasis"/>
        </w:rPr>
        <w:t>Report on NDB’s Development Results</w:t>
      </w:r>
      <w:r>
        <w:t xml:space="preserve"> (1st </w:t>
      </w:r>
      <w:proofErr w:type="spellStart"/>
      <w:r>
        <w:t>edn</w:t>
      </w:r>
      <w:proofErr w:type="spellEnd"/>
      <w:r>
        <w:t xml:space="preserve">, NDB 2024) </w:t>
      </w:r>
      <w:hyperlink r:id="rId33" w:history="1">
        <w:r>
          <w:rPr>
            <w:rStyle w:val="Hyperlink"/>
          </w:rPr>
          <w:t>https://www.ecgnet.org/sites/default/files/ndb-ieo-report-on-ndb-development-results.pdf</w:t>
        </w:r>
      </w:hyperlink>
      <w:r>
        <w:t xml:space="preserve"> accessed 16 October 2026; New Development Bank Independent Evaluation Office, </w:t>
      </w:r>
      <w:r>
        <w:rPr>
          <w:rStyle w:val="Emphasis"/>
        </w:rPr>
        <w:t>Thematic Evaluation: NDB Financing and Activities in the Energy Sector in South Africa</w:t>
      </w:r>
      <w:r>
        <w:t xml:space="preserve"> (NDB 2025) </w:t>
      </w:r>
      <w:hyperlink r:id="rId34" w:history="1">
        <w:r w:rsidRPr="00903225">
          <w:rPr>
            <w:rStyle w:val="Hyperlink"/>
          </w:rPr>
          <w:t>https://www.ndb.int/news/independent-evaluation-finds-that-ndbs-energy-sector-financing-supported-south-africa-in-addressing-national-energy-constraints/</w:t>
        </w:r>
      </w:hyperlink>
      <w:r>
        <w:t xml:space="preserve"> &gt;accessed 16 October 2026; New Development Bank Independent Evaluation Office, ‘Evaluation Lens, Issue 16: China Country Portfolio Evaluation’ (NDB 2026) </w:t>
      </w:r>
      <w:hyperlink r:id="rId35" w:history="1">
        <w:r>
          <w:rPr>
            <w:rStyle w:val="Hyperlink"/>
          </w:rPr>
          <w:t>https://www.ndb.int/wp-content/uploads/2026/07/Evaluation-Lens-Issue16-China-Country-Portfolio-Evaluation_EN.pdf</w:t>
        </w:r>
      </w:hyperlink>
      <w:r>
        <w:t xml:space="preserve"> accessed 16 October 2026.</w:t>
      </w:r>
    </w:p>
  </w:footnote>
  <w:footnote w:id="42">
    <w:p w14:paraId="1E77A621" w14:textId="77777777" w:rsidR="004240A3" w:rsidRDefault="004240A3" w:rsidP="00DA7B4F">
      <w:pPr>
        <w:pStyle w:val="FootnoteText"/>
        <w:jc w:val="both"/>
      </w:pPr>
      <w:r>
        <w:rPr>
          <w:rStyle w:val="FootnoteReference"/>
        </w:rPr>
        <w:footnoteRef/>
      </w:r>
      <w:r>
        <w:t xml:space="preserve"> Treaty for the Establishment of a BRICS Contingent Reserve Arrangement (signed 15 July 2014); see Ministry of Foreign Affairs of Brazil, ‘Documents Signed on the Occasion of the VI BRICS Summit—Fortaleza, July 15, 2014’ &lt;</w:t>
      </w:r>
      <w:hyperlink r:id="rId36">
        <w:r>
          <w:rPr>
            <w:rStyle w:val="Hyperlink"/>
          </w:rPr>
          <w:t>https://www.gov.br/mre/en/contact-us/press-area/press-releases/documents-signed-on-the-occasion-of-the-vi-brics-summit-fortaleza-july-15-2014</w:t>
        </w:r>
      </w:hyperlink>
      <w:r>
        <w:t>&gt; accessed 16 October 2026.</w:t>
      </w:r>
    </w:p>
  </w:footnote>
  <w:footnote w:id="43">
    <w:p w14:paraId="6F2CFA81" w14:textId="77777777" w:rsidR="004240A3" w:rsidRDefault="004240A3" w:rsidP="00DA7B4F">
      <w:pPr>
        <w:pStyle w:val="FootnoteText"/>
        <w:jc w:val="both"/>
      </w:pPr>
      <w:r>
        <w:rPr>
          <w:rStyle w:val="FootnoteReference"/>
        </w:rPr>
        <w:footnoteRef/>
      </w:r>
      <w:r>
        <w:t xml:space="preserve"> Reserve Bank of India, ‘BRICS Chair 2021: Meetings Held by the Reserve Bank of India in January 2021’ (Press Release, January 2021) &lt;</w:t>
      </w:r>
      <w:hyperlink r:id="rId37">
        <w:r>
          <w:rPr>
            <w:rStyle w:val="Hyperlink"/>
          </w:rPr>
          <w:t>https://brics2021.gov.in/brics/public/uploads/presspdf/press-9.pdf</w:t>
        </w:r>
      </w:hyperlink>
      <w:r>
        <w:t>&gt; accessed 16 October 2026; Batista (n 35).</w:t>
      </w:r>
    </w:p>
  </w:footnote>
  <w:footnote w:id="44">
    <w:p w14:paraId="2B9321BF" w14:textId="77777777" w:rsidR="004240A3" w:rsidRDefault="004240A3" w:rsidP="00DA7B4F">
      <w:pPr>
        <w:pStyle w:val="FootnoteText"/>
        <w:jc w:val="both"/>
      </w:pPr>
      <w:r>
        <w:rPr>
          <w:rStyle w:val="FootnoteReference"/>
        </w:rPr>
        <w:footnoteRef/>
      </w:r>
      <w:r>
        <w:t xml:space="preserve"> Treaty for the Establishment of a BRICS Contingent Reserve Arrangement; ‘The BRICS Bank—An Alternative That Wasn’t’ </w:t>
      </w:r>
      <w:r>
        <w:rPr>
          <w:i/>
        </w:rPr>
        <w:t>The Hindu</w:t>
      </w:r>
      <w:r>
        <w:t xml:space="preserve"> (12 September 2026) 6.</w:t>
      </w:r>
    </w:p>
  </w:footnote>
  <w:footnote w:id="45">
    <w:p w14:paraId="46827208" w14:textId="77777777" w:rsidR="004240A3" w:rsidRDefault="004240A3" w:rsidP="00DA7B4F">
      <w:pPr>
        <w:pStyle w:val="FootnoteText"/>
        <w:jc w:val="both"/>
      </w:pPr>
      <w:r>
        <w:rPr>
          <w:rStyle w:val="FootnoteReference"/>
        </w:rPr>
        <w:footnoteRef/>
      </w:r>
      <w:r>
        <w:t xml:space="preserve"> Barry Eichengreen, ‘Banking on the BRICS’ (Project Syndicate, August 2014) &lt;</w:t>
      </w:r>
      <w:hyperlink r:id="rId38">
        <w:r>
          <w:rPr>
            <w:rStyle w:val="Hyperlink"/>
          </w:rPr>
          <w:t>https://www.project-syndicate.org/commentary/barry-eichengreen-is-bullish-on-the-group-s-new-development-bank--but-not-on-its-contingent-reserve-arrangement</w:t>
        </w:r>
      </w:hyperlink>
      <w:r>
        <w:t>&gt; accessed 16 October 2026.</w:t>
      </w:r>
    </w:p>
  </w:footnote>
  <w:footnote w:id="46">
    <w:p w14:paraId="155D67FD" w14:textId="77777777" w:rsidR="004240A3" w:rsidRDefault="004240A3" w:rsidP="00DA7B4F">
      <w:pPr>
        <w:pStyle w:val="FootnoteText"/>
        <w:jc w:val="both"/>
      </w:pPr>
      <w:r>
        <w:rPr>
          <w:rStyle w:val="FootnoteReference"/>
        </w:rPr>
        <w:footnoteRef/>
      </w:r>
      <w:r>
        <w:t xml:space="preserve"> BRICS, ‘XIII BRICS Summit: New Delhi Declaration’ (New Delhi, 9 September 2021) &lt;</w:t>
      </w:r>
      <w:hyperlink r:id="rId39">
        <w:r>
          <w:rPr>
            <w:rStyle w:val="Hyperlink"/>
          </w:rPr>
          <w:t>https://worldjpn.net/documents/texts/BRICS/20210909.D1E.html</w:t>
        </w:r>
      </w:hyperlink>
      <w:r>
        <w:t>&gt; accessed 16 October 2026.</w:t>
      </w:r>
    </w:p>
  </w:footnote>
  <w:footnote w:id="47">
    <w:p w14:paraId="3B6B0889" w14:textId="77777777" w:rsidR="004240A3" w:rsidRDefault="004240A3" w:rsidP="00DA7B4F">
      <w:pPr>
        <w:pStyle w:val="FootnoteText"/>
        <w:jc w:val="both"/>
      </w:pPr>
      <w:r>
        <w:rPr>
          <w:rStyle w:val="FootnoteReference"/>
        </w:rPr>
        <w:footnoteRef/>
      </w:r>
      <w:r>
        <w:t xml:space="preserve"> Ministry of Science and Technology of the People’s Republic of China, ‘Online Launching Ceremony of BRICS Vaccine R&amp;D Center and Workshop on Vaccine Cooperation Successfully Held’ (22 June 2022) &lt;</w:t>
      </w:r>
      <w:hyperlink r:id="rId40">
        <w:r>
          <w:rPr>
            <w:rStyle w:val="Hyperlink"/>
          </w:rPr>
          <w:t>https://en.most.gov.cn/pressroom/202206/t20220622_181229.html</w:t>
        </w:r>
      </w:hyperlink>
      <w:r>
        <w:t>&gt; accessed 16 October 2026; ‘Under China’s Chairmanship BRICS Launches Vaccine R&amp;D Center’ (B&amp;FT Online, March 2022) &lt;</w:t>
      </w:r>
      <w:hyperlink r:id="rId41">
        <w:r>
          <w:rPr>
            <w:rStyle w:val="Hyperlink"/>
          </w:rPr>
          <w:t>https://thebftonline.com/?p=112957</w:t>
        </w:r>
      </w:hyperlink>
      <w:r>
        <w:t>&gt; accessed 16 October 2026.</w:t>
      </w:r>
    </w:p>
  </w:footnote>
  <w:footnote w:id="48">
    <w:p w14:paraId="14334F62" w14:textId="77777777" w:rsidR="00D63549" w:rsidRDefault="00D63549" w:rsidP="00DA7B4F">
      <w:pPr>
        <w:pStyle w:val="FootnoteText"/>
        <w:jc w:val="both"/>
      </w:pPr>
      <w:r>
        <w:rPr>
          <w:rStyle w:val="FootnoteReference"/>
        </w:rPr>
        <w:footnoteRef/>
      </w:r>
      <w:r>
        <w:t xml:space="preserve"> Agreement on the New Development Bank (adopted 15 July 2014, entered into force 3 July 2015) 3126 UNTS 153, art 2; New Development Bank, ‘Terms, Conditions and Procedures for the Admission of New Members to the New Development Bank’ &lt;</w:t>
      </w:r>
      <w:hyperlink r:id="rId42">
        <w:r>
          <w:rPr>
            <w:rStyle w:val="Hyperlink"/>
          </w:rPr>
          <w:t>https://www.ndb.int/wp-content/uploads/2017/06/Terms-Conditions-and-Procedures1.pdf</w:t>
        </w:r>
      </w:hyperlink>
      <w:r>
        <w:t>&gt; accessed 16 October 2026.</w:t>
      </w:r>
    </w:p>
  </w:footnote>
  <w:footnote w:id="49">
    <w:p w14:paraId="0F790D64" w14:textId="77777777" w:rsidR="004240A3" w:rsidRDefault="004240A3" w:rsidP="00DA7B4F">
      <w:pPr>
        <w:pStyle w:val="FootnoteText"/>
        <w:jc w:val="both"/>
      </w:pPr>
      <w:r>
        <w:rPr>
          <w:rStyle w:val="FootnoteReference"/>
        </w:rPr>
        <w:footnoteRef/>
      </w:r>
      <w:r>
        <w:t xml:space="preserve"> 2026 New Delhi Declaration (n 23) paras 20–22.</w:t>
      </w:r>
    </w:p>
  </w:footnote>
  <w:footnote w:id="50">
    <w:p w14:paraId="32035DF1" w14:textId="77777777" w:rsidR="00CA1AC4" w:rsidRDefault="00CA1AC4" w:rsidP="00DA7B4F">
      <w:pPr>
        <w:pStyle w:val="FootnoteText"/>
        <w:jc w:val="both"/>
      </w:pPr>
      <w:r>
        <w:rPr>
          <w:rStyle w:val="FootnoteReference"/>
        </w:rPr>
        <w:footnoteRef/>
      </w:r>
      <w:r>
        <w:t xml:space="preserve"> Executive Order 14257.</w:t>
      </w:r>
    </w:p>
  </w:footnote>
  <w:footnote w:id="51">
    <w:p w14:paraId="4637AB43" w14:textId="77777777" w:rsidR="00CA1AC4" w:rsidRDefault="00CA1AC4" w:rsidP="00DA7B4F">
      <w:pPr>
        <w:pStyle w:val="FootnoteText"/>
        <w:jc w:val="both"/>
      </w:pPr>
      <w:r>
        <w:rPr>
          <w:rStyle w:val="FootnoteReference"/>
        </w:rPr>
        <w:footnoteRef/>
      </w:r>
      <w:r>
        <w:t xml:space="preserve"> Ministry of Trade, Agribusiness and Industry (Ghana), ‘Imposition of USA 10% Tariff on Ghana and Other Countries’ (6 April 2025) &lt;</w:t>
      </w:r>
      <w:hyperlink r:id="rId43">
        <w:r>
          <w:rPr>
            <w:rStyle w:val="Hyperlink"/>
          </w:rPr>
          <w:t>https://www.moti.gov.gh/new/blog-details.php?v=OTk%3D</w:t>
        </w:r>
      </w:hyperlink>
      <w:r>
        <w:t>&gt; accessed 16 October 2026.</w:t>
      </w:r>
    </w:p>
  </w:footnote>
  <w:footnote w:id="52">
    <w:p w14:paraId="60B1F278" w14:textId="77777777" w:rsidR="00CA1AC4" w:rsidRDefault="00CA1AC4" w:rsidP="00DA7B4F">
      <w:pPr>
        <w:pStyle w:val="FootnoteText"/>
        <w:jc w:val="both"/>
      </w:pPr>
      <w:r>
        <w:rPr>
          <w:rStyle w:val="FootnoteReference"/>
        </w:rPr>
        <w:footnoteRef/>
      </w:r>
      <w:r>
        <w:t xml:space="preserve"> </w:t>
      </w:r>
      <w:r>
        <w:rPr>
          <w:i/>
        </w:rPr>
        <w:t>Learning Resources, Inc v Trump</w:t>
      </w:r>
      <w:r>
        <w:t xml:space="preserve"> (US Supreme Court, 20 February 2026); Cleary Gottlieb, ‘Supreme Court Strikes Down IEEPA Tariffs: What to Know and Expect’ (Cleary Trade Watch, 20 February 2026) &lt;</w:t>
      </w:r>
      <w:hyperlink r:id="rId44">
        <w:r>
          <w:rPr>
            <w:rStyle w:val="Hyperlink"/>
          </w:rPr>
          <w:t>https://www.clearytradewatch.com/2026/02/supreme-court-strikes-down-ieepa-tariffs-what-to-know-and-expect/</w:t>
        </w:r>
      </w:hyperlink>
      <w:r>
        <w:t>&gt; accessed 16 October 2026.</w:t>
      </w:r>
    </w:p>
  </w:footnote>
  <w:footnote w:id="53">
    <w:p w14:paraId="25AFCA39" w14:textId="77777777" w:rsidR="00CA1AC4" w:rsidRDefault="00CA1AC4" w:rsidP="00DA7B4F">
      <w:pPr>
        <w:pStyle w:val="FootnoteText"/>
        <w:jc w:val="both"/>
      </w:pPr>
      <w:r>
        <w:rPr>
          <w:rStyle w:val="FootnoteReference"/>
        </w:rPr>
        <w:footnoteRef/>
      </w:r>
      <w:r>
        <w:t xml:space="preserve"> Trade Act of 1974, ss 122, 301 (19 USC §§ 2132, 2411); ‘Section 122 Is Out. Section 301 Is In’ (Border Buddy, 28 July 2026) &lt;</w:t>
      </w:r>
      <w:hyperlink r:id="rId45">
        <w:r>
          <w:rPr>
            <w:rStyle w:val="Hyperlink"/>
          </w:rPr>
          <w:t>https://borderbuddy.com/trade-tariff-news/section-122-is-out-section-301-is-in</w:t>
        </w:r>
      </w:hyperlink>
      <w:r>
        <w:t>&gt; accessed 16 October 2026.</w:t>
      </w:r>
    </w:p>
  </w:footnote>
  <w:footnote w:id="54">
    <w:p w14:paraId="63EDC45F" w14:textId="77777777" w:rsidR="00CA1AC4" w:rsidRDefault="00CA1AC4" w:rsidP="00DA7B4F">
      <w:pPr>
        <w:pStyle w:val="FootnoteText"/>
        <w:jc w:val="both"/>
      </w:pPr>
      <w:r>
        <w:rPr>
          <w:rStyle w:val="FootnoteReference"/>
        </w:rPr>
        <w:footnoteRef/>
      </w:r>
      <w:r>
        <w:t xml:space="preserve"> ‘Canada Races to Seal India Trade Pact’ (n 5).</w:t>
      </w:r>
    </w:p>
  </w:footnote>
  <w:footnote w:id="55">
    <w:p w14:paraId="33935E48" w14:textId="77777777" w:rsidR="00CA1AC4" w:rsidRDefault="00CA1AC4" w:rsidP="00DA7B4F">
      <w:pPr>
        <w:pStyle w:val="FootnoteText"/>
        <w:jc w:val="both"/>
      </w:pPr>
      <w:r>
        <w:rPr>
          <w:rStyle w:val="FootnoteReference"/>
        </w:rPr>
        <w:footnoteRef/>
      </w:r>
      <w:r>
        <w:t xml:space="preserve"> ‘Trump Threatens to Acquire Canada, Greenland While Next to NATO Chief’ (Global News, 13 March 2025) &lt;</w:t>
      </w:r>
      <w:hyperlink r:id="rId46">
        <w:r>
          <w:rPr>
            <w:rStyle w:val="Hyperlink"/>
          </w:rPr>
          <w:t>https://globalnews.ca/news/11080463/trump-nato-rutte-canada-greenland/</w:t>
        </w:r>
      </w:hyperlink>
      <w:r>
        <w:t>&gt; accessed 16 October 2026; ‘Trump Allies Renew Greenland, Canada Takeover Talk’ (Axios, 3 June 2026) &lt;</w:t>
      </w:r>
      <w:hyperlink r:id="rId47">
        <w:r>
          <w:rPr>
            <w:rStyle w:val="Hyperlink"/>
          </w:rPr>
          <w:t>https://www.axios.com/2026/06/03/trump-rubio-greenland-canada-takeover-talk</w:t>
        </w:r>
      </w:hyperlink>
      <w:r>
        <w:t>&gt; accessed 16 October 2026.</w:t>
      </w:r>
    </w:p>
  </w:footnote>
  <w:footnote w:id="56">
    <w:p w14:paraId="3794CDF8" w14:textId="77777777" w:rsidR="00CA1AC4" w:rsidRDefault="00CA1AC4" w:rsidP="00DA7B4F">
      <w:pPr>
        <w:pStyle w:val="FootnoteText"/>
        <w:jc w:val="both"/>
      </w:pPr>
      <w:r>
        <w:rPr>
          <w:rStyle w:val="FootnoteReference"/>
        </w:rPr>
        <w:footnoteRef/>
      </w:r>
      <w:r>
        <w:t xml:space="preserve"> ‘Rubio, in Athens, Ties Ancient Greek Values to America First’ (Reuters, 7 October 2026) &lt;</w:t>
      </w:r>
      <w:hyperlink r:id="rId48">
        <w:r>
          <w:rPr>
            <w:rStyle w:val="Hyperlink"/>
          </w:rPr>
          <w:t>https://www.reuters.com/world/us/rubio-link-ancient-greek-values-america-first-speech-athens-2026-10-07/</w:t>
        </w:r>
      </w:hyperlink>
      <w:r>
        <w:t>&gt; accessed 16 October 2026; ‘Rubio Calls for “Unapologetic Pursuit of National Power”’ (CBS News, 8 October 2026) &lt;</w:t>
      </w:r>
      <w:hyperlink r:id="rId49">
        <w:r>
          <w:rPr>
            <w:rStyle w:val="Hyperlink"/>
          </w:rPr>
          <w:t>https://www.cbsnews.com/news/rubio-athens-acropolis-speech/</w:t>
        </w:r>
      </w:hyperlink>
      <w:r>
        <w:t>&gt; accessed 16 October 2026.</w:t>
      </w:r>
    </w:p>
  </w:footnote>
  <w:footnote w:id="57">
    <w:p w14:paraId="62AE6674" w14:textId="77777777" w:rsidR="00C6536A" w:rsidRDefault="00C6536A" w:rsidP="00DA7B4F">
      <w:pPr>
        <w:pStyle w:val="FootnoteText"/>
        <w:jc w:val="both"/>
      </w:pPr>
      <w:r>
        <w:rPr>
          <w:rStyle w:val="FootnoteReference"/>
        </w:rPr>
        <w:footnoteRef/>
      </w:r>
      <w:r>
        <w:t xml:space="preserve"> </w:t>
      </w:r>
      <w:proofErr w:type="spellStart"/>
      <w:r w:rsidRPr="00C6536A">
        <w:t>Eurofound</w:t>
      </w:r>
      <w:proofErr w:type="spellEnd"/>
      <w:r w:rsidRPr="00C6536A">
        <w:t xml:space="preserve">, </w:t>
      </w:r>
      <w:r w:rsidRPr="00C6536A">
        <w:rPr>
          <w:i/>
          <w:iCs/>
        </w:rPr>
        <w:t>Foundational Challenges: The Housing Struggles of Europe's Youth</w:t>
      </w:r>
      <w:r w:rsidRPr="00C6536A">
        <w:t xml:space="preserve"> (Publications Office of the European Union 2025) </w:t>
      </w:r>
      <w:hyperlink r:id="rId50" w:history="1">
        <w:r w:rsidRPr="00C6536A">
          <w:rPr>
            <w:rStyle w:val="Hyperlink"/>
          </w:rPr>
          <w:t>https://www.eurofound.europa.eu/en/publications/all/foundational-challenges-the-housing-struggles-of-europes-youth</w:t>
        </w:r>
      </w:hyperlink>
      <w:r w:rsidRPr="00C6536A">
        <w:t xml:space="preserve"> </w:t>
      </w:r>
      <w:proofErr w:type="gramStart"/>
      <w:r w:rsidRPr="00C6536A">
        <w:t>accessed  October</w:t>
      </w:r>
      <w:proofErr w:type="gramEnd"/>
      <w:r w:rsidRPr="00C6536A">
        <w:t xml:space="preserve"> </w:t>
      </w:r>
      <w:r w:rsidR="00E46512">
        <w:t xml:space="preserve">24, </w:t>
      </w:r>
      <w:r w:rsidRPr="00C6536A">
        <w:t>2026.</w:t>
      </w:r>
    </w:p>
  </w:footnote>
  <w:footnote w:id="58">
    <w:p w14:paraId="579D554B" w14:textId="77777777" w:rsidR="00C6536A" w:rsidRDefault="00C6536A" w:rsidP="00DA7B4F">
      <w:pPr>
        <w:pStyle w:val="FootnoteText"/>
        <w:jc w:val="both"/>
      </w:pPr>
      <w:r>
        <w:rPr>
          <w:rStyle w:val="FootnoteReference"/>
        </w:rPr>
        <w:footnoteRef/>
      </w:r>
      <w:r>
        <w:t xml:space="preserve"> Reuters, ‘Block Everything” Protests Sweep Across France, Scores Arrested’ (10 September 2025) &lt;</w:t>
      </w:r>
      <w:r w:rsidRPr="00C6536A">
        <w:t xml:space="preserve"> </w:t>
      </w:r>
      <w:hyperlink r:id="rId51" w:history="1">
        <w:r w:rsidRPr="00A72DD4">
          <w:rPr>
            <w:rStyle w:val="Hyperlink"/>
          </w:rPr>
          <w:t>https://www.reuters.com/world/europe/block-everything-protests-sweep-across-france-scores-arrested-2025-09-10/?utm_source=chatgpt.com</w:t>
        </w:r>
      </w:hyperlink>
      <w:r>
        <w:t>&gt; accessed 24 October 2026; Reuters, ‘Thousands Strike and March in Italy Against Meloni’s Budget’ (12 December 2025) &lt;</w:t>
      </w:r>
      <w:r w:rsidRPr="00C6536A">
        <w:t xml:space="preserve"> </w:t>
      </w:r>
      <w:hyperlink r:id="rId52" w:history="1">
        <w:r w:rsidRPr="00A72DD4">
          <w:rPr>
            <w:rStyle w:val="Hyperlink"/>
          </w:rPr>
          <w:t>https://www.reuters.com/world/thousands-strike-march-italy-against-melonis-budget-2025-12-12/?utm_source=chatgpt.com</w:t>
        </w:r>
      </w:hyperlink>
      <w:r>
        <w:t>&gt; accessed 24 October 2026; Corina Pons, David Latona and Ana Cantero, ‘Protesters Rally Across Spain Against Housing Crisis, Tourist Flats’ (Reuters, 5 April 2025)&lt;</w:t>
      </w:r>
      <w:r w:rsidRPr="00C6536A">
        <w:t xml:space="preserve"> </w:t>
      </w:r>
      <w:hyperlink r:id="rId53" w:history="1">
        <w:r w:rsidRPr="00A72DD4">
          <w:rPr>
            <w:rStyle w:val="Hyperlink"/>
          </w:rPr>
          <w:t>https://www.investing.com/news/economy-news/protesters-rally-across-spain-against-housing-crisis-tourist-flats-3969468?utm_source=chatgpt.com</w:t>
        </w:r>
      </w:hyperlink>
      <w:r>
        <w:t xml:space="preserve">&gt; accessed October </w:t>
      </w:r>
      <w:r w:rsidR="00E46512">
        <w:t xml:space="preserve">24, </w:t>
      </w:r>
      <w:r>
        <w:t>2026</w:t>
      </w:r>
    </w:p>
  </w:footnote>
  <w:footnote w:id="59">
    <w:p w14:paraId="49DE0054" w14:textId="77777777" w:rsidR="00C6536A" w:rsidRPr="00C6536A" w:rsidRDefault="00C6536A" w:rsidP="00DA7B4F">
      <w:pPr>
        <w:pStyle w:val="FootnoteText"/>
        <w:jc w:val="both"/>
      </w:pPr>
      <w:r>
        <w:rPr>
          <w:rStyle w:val="FootnoteReference"/>
        </w:rPr>
        <w:footnoteRef/>
      </w:r>
      <w:r>
        <w:t xml:space="preserve"> </w:t>
      </w:r>
      <w:r w:rsidRPr="00C6536A">
        <w:t xml:space="preserve">UK Government, ‘Past Prime Ministers’ (GOV.UK) </w:t>
      </w:r>
      <w:hyperlink r:id="rId54" w:history="1">
        <w:r w:rsidRPr="00C6536A">
          <w:rPr>
            <w:rStyle w:val="Hyperlink"/>
          </w:rPr>
          <w:t>https://www.gov.uk/government/history/past-prime-ministers</w:t>
        </w:r>
      </w:hyperlink>
      <w:r w:rsidRPr="00C6536A">
        <w:t xml:space="preserve"> accessed October </w:t>
      </w:r>
      <w:proofErr w:type="gramStart"/>
      <w:r w:rsidR="00E46512" w:rsidRPr="00C6536A">
        <w:t xml:space="preserve">24 </w:t>
      </w:r>
      <w:r w:rsidR="00E46512">
        <w:t>,</w:t>
      </w:r>
      <w:proofErr w:type="gramEnd"/>
      <w:r w:rsidR="00E46512">
        <w:t xml:space="preserve"> </w:t>
      </w:r>
      <w:r w:rsidRPr="00C6536A">
        <w:t>2026.</w:t>
      </w:r>
    </w:p>
    <w:p w14:paraId="64BF6770" w14:textId="77777777" w:rsidR="00C6536A" w:rsidRDefault="00C6536A" w:rsidP="00DA7B4F">
      <w:pPr>
        <w:pStyle w:val="FootnoteText"/>
        <w:jc w:val="both"/>
      </w:pPr>
      <w:r>
        <w:t xml:space="preserve"> </w:t>
      </w:r>
    </w:p>
  </w:footnote>
  <w:footnote w:id="60">
    <w:p w14:paraId="1DF0141F" w14:textId="77777777" w:rsidR="00C6536A" w:rsidRDefault="00C6536A" w:rsidP="00DA7B4F">
      <w:pPr>
        <w:pStyle w:val="FootnoteText"/>
        <w:jc w:val="both"/>
      </w:pPr>
      <w:r>
        <w:rPr>
          <w:rStyle w:val="FootnoteReference"/>
        </w:rPr>
        <w:footnoteRef/>
      </w:r>
      <w:r>
        <w:t xml:space="preserve"> </w:t>
      </w:r>
      <w:r w:rsidRPr="00C6536A">
        <w:t xml:space="preserve">The Federal Returning Officer, ‘2025 Bundestag Election: Final Result’ (Press Release No 29/25, 14 March 2025) </w:t>
      </w:r>
      <w:hyperlink r:id="rId55" w:history="1">
        <w:r w:rsidRPr="00C6536A">
          <w:rPr>
            <w:rStyle w:val="Hyperlink"/>
          </w:rPr>
          <w:t>https://www.bundeswahlleiterin.de/en/info/presse/mitteilungen/bundestagswahl-2025/29_25_endgueltiges-ergebnis.html</w:t>
        </w:r>
      </w:hyperlink>
      <w:r w:rsidRPr="00C6536A">
        <w:t xml:space="preserve"> accessed 24 October 2026.</w:t>
      </w:r>
    </w:p>
  </w:footnote>
  <w:footnote w:id="61">
    <w:p w14:paraId="1E40BA56" w14:textId="77777777" w:rsidR="00C6536A" w:rsidRDefault="00C6536A" w:rsidP="00DA7B4F">
      <w:pPr>
        <w:pStyle w:val="FootnoteText"/>
        <w:jc w:val="both"/>
      </w:pPr>
      <w:r>
        <w:rPr>
          <w:rStyle w:val="FootnoteReference"/>
        </w:rPr>
        <w:footnoteRef/>
      </w:r>
      <w:r>
        <w:t xml:space="preserve"> </w:t>
      </w:r>
      <w:r w:rsidRPr="00C6536A">
        <w:t xml:space="preserve">European Commission, ‘The Cost of EU Member States' Proximity to the War’ (17 November 2025) </w:t>
      </w:r>
      <w:hyperlink r:id="rId56" w:history="1">
        <w:r w:rsidRPr="00C6536A">
          <w:rPr>
            <w:rStyle w:val="Hyperlink"/>
          </w:rPr>
          <w:t>https://economy-finance.ec.europa.eu/cost-eu-member-states-proximity-war_en</w:t>
        </w:r>
      </w:hyperlink>
      <w:r w:rsidRPr="00C6536A">
        <w:t xml:space="preserve"> accessed October</w:t>
      </w:r>
      <w:r w:rsidR="00E46512">
        <w:t xml:space="preserve"> </w:t>
      </w:r>
      <w:r w:rsidR="00E46512" w:rsidRPr="00C6536A">
        <w:t>24</w:t>
      </w:r>
      <w:r w:rsidR="00E46512">
        <w:t>,</w:t>
      </w:r>
      <w:r w:rsidRPr="00C6536A">
        <w:t xml:space="preserve"> 2026.</w:t>
      </w:r>
    </w:p>
  </w:footnote>
  <w:footnote w:id="62">
    <w:p w14:paraId="34393D40" w14:textId="77777777" w:rsidR="00C6536A" w:rsidRDefault="00C6536A" w:rsidP="00DA7B4F">
      <w:pPr>
        <w:pStyle w:val="FootnoteText"/>
        <w:jc w:val="both"/>
      </w:pPr>
      <w:r>
        <w:rPr>
          <w:rStyle w:val="FootnoteReference"/>
        </w:rPr>
        <w:footnoteRef/>
      </w:r>
      <w:r>
        <w:t xml:space="preserve"> </w:t>
      </w:r>
      <w:r w:rsidRPr="00C6536A">
        <w:t xml:space="preserve">European Commission, ‘Spring 2026 Economic Forecast: Slowdown in Growth as Energy Shock Drives Up Inflation’ (21 May 2026) </w:t>
      </w:r>
      <w:hyperlink r:id="rId57" w:history="1">
        <w:r w:rsidRPr="00C6536A">
          <w:rPr>
            <w:rStyle w:val="Hyperlink"/>
          </w:rPr>
          <w:t>https://economy-finance.ec.europa.eu/economic-forecast-and-surveys/economic-forecasts/spring-2026-economic-forecast-slowdown-growth-energy-shock-drives-inflation_en</w:t>
        </w:r>
      </w:hyperlink>
      <w:r w:rsidRPr="00C6536A">
        <w:t xml:space="preserve"> accessed October</w:t>
      </w:r>
      <w:r w:rsidR="00E46512">
        <w:t xml:space="preserve"> 24,</w:t>
      </w:r>
      <w:r w:rsidRPr="00C6536A">
        <w:t xml:space="preserve"> 2026.</w:t>
      </w:r>
    </w:p>
  </w:footnote>
  <w:footnote w:id="63">
    <w:p w14:paraId="12EF8915" w14:textId="77777777" w:rsidR="00CA1AC4" w:rsidRDefault="00CA1AC4" w:rsidP="00DA7B4F">
      <w:pPr>
        <w:pStyle w:val="FootnoteText"/>
        <w:jc w:val="both"/>
      </w:pPr>
      <w:r>
        <w:rPr>
          <w:rStyle w:val="FootnoteReference"/>
        </w:rPr>
        <w:footnoteRef/>
      </w:r>
      <w:r>
        <w:t xml:space="preserve"> ‘US Engaging Ghana to Review Rejected Health Compact’ (n 2).</w:t>
      </w:r>
    </w:p>
  </w:footnote>
  <w:footnote w:id="64">
    <w:p w14:paraId="0A6AB363" w14:textId="77777777" w:rsidR="00CA1AC4" w:rsidRDefault="00CA1AC4" w:rsidP="00DA7B4F">
      <w:pPr>
        <w:pStyle w:val="FootnoteText"/>
        <w:jc w:val="both"/>
      </w:pPr>
      <w:r>
        <w:rPr>
          <w:rStyle w:val="FootnoteReference"/>
        </w:rPr>
        <w:footnoteRef/>
      </w:r>
      <w:r>
        <w:t xml:space="preserve"> ‘Ghana Becomes the Latest African Country to Reject a US Health Deal’ (n 2).</w:t>
      </w:r>
    </w:p>
  </w:footnote>
  <w:footnote w:id="65">
    <w:p w14:paraId="3A709EC1" w14:textId="77777777" w:rsidR="00E46512" w:rsidRDefault="00E46512" w:rsidP="00DA7B4F">
      <w:pPr>
        <w:pStyle w:val="FootnoteText"/>
        <w:jc w:val="both"/>
      </w:pPr>
      <w:r>
        <w:rPr>
          <w:rStyle w:val="FootnoteReference"/>
        </w:rPr>
        <w:footnoteRef/>
      </w:r>
      <w:r>
        <w:t xml:space="preserve"> </w:t>
      </w:r>
      <w:r w:rsidRPr="00E46512">
        <w:t>Richmond Fordjour Ampofo</w:t>
      </w:r>
      <w:r>
        <w:t>, ‘</w:t>
      </w:r>
      <w:r w:rsidRPr="00E46512">
        <w:t>Russian Ambassador weighs in on Ghana’s decision to join BRICS</w:t>
      </w:r>
      <w:r>
        <w:t>’ (</w:t>
      </w:r>
      <w:proofErr w:type="gramStart"/>
      <w:r>
        <w:t>2026)&lt;</w:t>
      </w:r>
      <w:proofErr w:type="gramEnd"/>
      <w:r w:rsidRPr="00E46512">
        <w:t xml:space="preserve"> </w:t>
      </w:r>
      <w:hyperlink r:id="rId58" w:history="1">
        <w:r w:rsidRPr="00A72DD4">
          <w:rPr>
            <w:rStyle w:val="Hyperlink"/>
          </w:rPr>
          <w:t>https://www.diplomatictimesonline.com/russian-ambassador-weighs-in-on-ghanas-decision-to-join-brics/&gt;accessed</w:t>
        </w:r>
      </w:hyperlink>
      <w:r>
        <w:t xml:space="preserve"> October 24, 2026.</w:t>
      </w:r>
    </w:p>
  </w:footnote>
  <w:footnote w:id="66">
    <w:p w14:paraId="0D871806" w14:textId="77777777" w:rsidR="00CA1AC4" w:rsidRDefault="00CA1AC4" w:rsidP="00DA7B4F">
      <w:pPr>
        <w:pStyle w:val="FootnoteText"/>
        <w:jc w:val="both"/>
      </w:pPr>
      <w:r>
        <w:rPr>
          <w:rStyle w:val="FootnoteReference"/>
        </w:rPr>
        <w:footnoteRef/>
      </w:r>
      <w:r>
        <w:t xml:space="preserve"> Constitution of the Republic of Ghana 1992, which entered into force on 7 January 1993.</w:t>
      </w:r>
    </w:p>
  </w:footnote>
  <w:footnote w:id="67">
    <w:p w14:paraId="12B163B7" w14:textId="77777777" w:rsidR="00CA1AC4" w:rsidRDefault="00CA1AC4" w:rsidP="00DA7B4F">
      <w:pPr>
        <w:pStyle w:val="FootnoteText"/>
        <w:jc w:val="both"/>
      </w:pPr>
      <w:r>
        <w:rPr>
          <w:rStyle w:val="FootnoteReference"/>
        </w:rPr>
        <w:footnoteRef/>
      </w:r>
      <w:r>
        <w:t xml:space="preserve"> Freedom House, ‘Ghana: Freedom in the World 2026’ &lt;</w:t>
      </w:r>
      <w:hyperlink r:id="rId59">
        <w:r>
          <w:rPr>
            <w:rStyle w:val="Hyperlink"/>
          </w:rPr>
          <w:t>https://freedomhouse.org/country/ghana/freedom-world/2026</w:t>
        </w:r>
      </w:hyperlink>
      <w:r>
        <w:t>&gt; accessed 16 October 2026.</w:t>
      </w:r>
    </w:p>
  </w:footnote>
  <w:footnote w:id="68">
    <w:p w14:paraId="3A4B2C89" w14:textId="77777777" w:rsidR="00E46512" w:rsidRDefault="00E46512" w:rsidP="00DA7B4F">
      <w:pPr>
        <w:pStyle w:val="FootnoteText"/>
        <w:jc w:val="both"/>
      </w:pPr>
      <w:r>
        <w:rPr>
          <w:rStyle w:val="FootnoteReference"/>
        </w:rPr>
        <w:footnoteRef/>
      </w:r>
      <w:r>
        <w:t xml:space="preserve"> Office of the United Nations High Commissioner for Human Rights (OHCHR), ‘India: UN Experts Alarmed by Fresh Crackdown on Protests and Rights Violations’ (Press Release, 20 October </w:t>
      </w:r>
      <w:proofErr w:type="gramStart"/>
      <w:r>
        <w:t>2026)&lt;</w:t>
      </w:r>
      <w:proofErr w:type="gramEnd"/>
      <w:r w:rsidRPr="00E46512">
        <w:t xml:space="preserve"> </w:t>
      </w:r>
      <w:hyperlink r:id="rId60" w:history="1">
        <w:r w:rsidRPr="00A72DD4">
          <w:rPr>
            <w:rStyle w:val="Hyperlink"/>
          </w:rPr>
          <w:t>https://www.ohchr.org/en/press-releases/2026/10/india-un-experts-alarmed-fresh-crackdown-protests-and-rights-violations</w:t>
        </w:r>
      </w:hyperlink>
      <w:proofErr w:type="gramStart"/>
      <w:r>
        <w:t>&gt;  accessed</w:t>
      </w:r>
      <w:proofErr w:type="gramEnd"/>
      <w:r>
        <w:t xml:space="preserve"> 25 October 2026.</w:t>
      </w:r>
    </w:p>
  </w:footnote>
  <w:footnote w:id="69">
    <w:p w14:paraId="70F8616D" w14:textId="77777777" w:rsidR="00CA1AC4" w:rsidRDefault="00CA1AC4" w:rsidP="00DA7B4F">
      <w:pPr>
        <w:pStyle w:val="FootnoteText"/>
        <w:jc w:val="both"/>
      </w:pPr>
      <w:r>
        <w:rPr>
          <w:rStyle w:val="FootnoteReference"/>
        </w:rPr>
        <w:footnoteRef/>
      </w:r>
      <w:r>
        <w:t xml:space="preserve"> Freedom House, ‘India: Freedom in the World 2026’ &lt;</w:t>
      </w:r>
      <w:hyperlink r:id="rId61">
        <w:r>
          <w:rPr>
            <w:rStyle w:val="Hyperlink"/>
          </w:rPr>
          <w:t>https://freedomhouse.org/country/india/freedom-world/2026</w:t>
        </w:r>
      </w:hyperlink>
      <w:r>
        <w:t>&gt; accessed 16 October 2026; Freedom House, ‘South Africa: Freedom in the World 2026’ &lt;</w:t>
      </w:r>
      <w:hyperlink r:id="rId62">
        <w:r>
          <w:rPr>
            <w:rStyle w:val="Hyperlink"/>
          </w:rPr>
          <w:t>https://freedomhouse.org/country/south-africa/freedom-world/2026</w:t>
        </w:r>
      </w:hyperlink>
      <w:r>
        <w:t>&gt; accessed 16 October 2026.</w:t>
      </w:r>
    </w:p>
  </w:footnote>
  <w:footnote w:id="70">
    <w:p w14:paraId="03BE94C1" w14:textId="77777777" w:rsidR="00CA1AC4" w:rsidRDefault="00CA1AC4" w:rsidP="00DA7B4F">
      <w:pPr>
        <w:pStyle w:val="FootnoteText"/>
        <w:jc w:val="both"/>
      </w:pPr>
      <w:r>
        <w:rPr>
          <w:rStyle w:val="FootnoteReference"/>
        </w:rPr>
        <w:footnoteRef/>
      </w:r>
      <w:r>
        <w:t xml:space="preserve"> ‘Modi Says BRICS Must Avoid Being an Anti-West Group’ (n 9).</w:t>
      </w:r>
    </w:p>
  </w:footnote>
  <w:footnote w:id="71">
    <w:p w14:paraId="415D50DB" w14:textId="77777777" w:rsidR="00CA1AC4" w:rsidRDefault="00CA1AC4" w:rsidP="00DA7B4F">
      <w:pPr>
        <w:pStyle w:val="FootnoteText"/>
        <w:jc w:val="both"/>
      </w:pPr>
      <w:r>
        <w:rPr>
          <w:rStyle w:val="FootnoteReference"/>
        </w:rPr>
        <w:footnoteRef/>
      </w:r>
      <w:r>
        <w:t xml:space="preserve"> Council Regulation (EU) No 833/2014.</w:t>
      </w:r>
    </w:p>
  </w:footnote>
  <w:footnote w:id="72">
    <w:p w14:paraId="33F3C9DC" w14:textId="77777777" w:rsidR="00CA1AC4" w:rsidRDefault="00CA1AC4" w:rsidP="00DA7B4F">
      <w:pPr>
        <w:pStyle w:val="FootnoteText"/>
        <w:jc w:val="both"/>
      </w:pPr>
      <w:r>
        <w:rPr>
          <w:rStyle w:val="FootnoteReference"/>
        </w:rPr>
        <w:footnoteRef/>
      </w:r>
      <w:r>
        <w:t xml:space="preserve"> Protocol on the Accession of the People’s Republic of China (23 November 2001) WT/L/432; World Trade Organization, ‘Who Are the Developing Countries in the WTO?’ &lt;</w:t>
      </w:r>
      <w:hyperlink r:id="rId63">
        <w:r>
          <w:rPr>
            <w:rStyle w:val="Hyperlink"/>
          </w:rPr>
          <w:t>https://www.wto.org/english/tratop_e/devel_e/d1who_e.htm</w:t>
        </w:r>
      </w:hyperlink>
      <w:r>
        <w:t>&gt; accessed 16 October 2026.</w:t>
      </w:r>
    </w:p>
  </w:footnote>
  <w:footnote w:id="73">
    <w:p w14:paraId="2A93D0C5" w14:textId="77777777" w:rsidR="00CA1AC4" w:rsidRDefault="00CA1AC4" w:rsidP="00DA7B4F">
      <w:pPr>
        <w:pStyle w:val="FootnoteText"/>
        <w:jc w:val="both"/>
      </w:pPr>
      <w:r>
        <w:rPr>
          <w:rStyle w:val="FootnoteReference"/>
        </w:rPr>
        <w:footnoteRef/>
      </w:r>
      <w:r>
        <w:t xml:space="preserve"> </w:t>
      </w:r>
      <w:proofErr w:type="spellStart"/>
      <w:r>
        <w:t>Nqophisa</w:t>
      </w:r>
      <w:proofErr w:type="spellEnd"/>
      <w:r>
        <w:t xml:space="preserve"> Diko and Norman Sempijja, ‘Does Participation in BRICS Foster South–South Cooperation? Brazil, South Africa, and the Global South’ (2021) 39 Journal of Contemporary African Studies 119.</w:t>
      </w:r>
    </w:p>
  </w:footnote>
  <w:footnote w:id="74">
    <w:p w14:paraId="03BCD2DD" w14:textId="77777777" w:rsidR="00CA1AC4" w:rsidRDefault="00CA1AC4" w:rsidP="00DA7B4F">
      <w:pPr>
        <w:pStyle w:val="FootnoteText"/>
        <w:jc w:val="both"/>
      </w:pPr>
      <w:r>
        <w:rPr>
          <w:rStyle w:val="FootnoteReference"/>
        </w:rPr>
        <w:footnoteRef/>
      </w:r>
      <w:r>
        <w:t xml:space="preserve"> Stephan Keukeleire and Bas </w:t>
      </w:r>
      <w:proofErr w:type="spellStart"/>
      <w:r>
        <w:t>Hooijmaaijers</w:t>
      </w:r>
      <w:proofErr w:type="spellEnd"/>
      <w:r>
        <w:t>, ‘The BRICS and Other Emerging Power Alliances and Multilateral Organizations in the Asia-Pacific and the Global South: Challenges for the European Union and Its View on Multilateralism’ (2014) 52 Journal of Common Market Studies 582; see Duggan and others (n 30).</w:t>
      </w:r>
    </w:p>
  </w:footnote>
  <w:footnote w:id="75">
    <w:p w14:paraId="7DF20BB9" w14:textId="77777777" w:rsidR="00CA1AC4" w:rsidRDefault="00CA1AC4" w:rsidP="00DA7B4F">
      <w:pPr>
        <w:pStyle w:val="FootnoteText"/>
        <w:jc w:val="both"/>
      </w:pPr>
      <w:r>
        <w:rPr>
          <w:rStyle w:val="FootnoteReference"/>
        </w:rPr>
        <w:footnoteRef/>
      </w:r>
      <w:r>
        <w:t xml:space="preserve"> International Energy Agency, </w:t>
      </w:r>
      <w:r>
        <w:rPr>
          <w:i/>
        </w:rPr>
        <w:t>Global Critical Minerals Outlook 2026</w:t>
      </w:r>
      <w:r>
        <w:t xml:space="preserve"> (IEA 2026) &lt;</w:t>
      </w:r>
      <w:hyperlink r:id="rId64">
        <w:r>
          <w:rPr>
            <w:rStyle w:val="Hyperlink"/>
          </w:rPr>
          <w:t>https://www.iea.org/reports/global-critical-minerals-outlook-2026/executive-summary</w:t>
        </w:r>
      </w:hyperlink>
      <w:r>
        <w:t>&gt; accessed 16 October 2026.</w:t>
      </w:r>
    </w:p>
  </w:footnote>
  <w:footnote w:id="76">
    <w:p w14:paraId="49B8B530" w14:textId="77777777" w:rsidR="00CA1AC4" w:rsidRDefault="00CA1AC4" w:rsidP="00DA7B4F">
      <w:pPr>
        <w:pStyle w:val="FootnoteText"/>
        <w:jc w:val="both"/>
      </w:pPr>
      <w:r>
        <w:rPr>
          <w:rStyle w:val="FootnoteReference"/>
        </w:rPr>
        <w:footnoteRef/>
      </w:r>
      <w:r>
        <w:t xml:space="preserve"> PwC (n 6).</w:t>
      </w:r>
    </w:p>
  </w:footnote>
  <w:footnote w:id="77">
    <w:p w14:paraId="4E0BCB60" w14:textId="77777777" w:rsidR="009B4B0C" w:rsidRPr="009B4B0C" w:rsidRDefault="009B4B0C" w:rsidP="00DA7B4F">
      <w:pPr>
        <w:spacing w:after="0" w:line="240" w:lineRule="auto"/>
        <w:jc w:val="both"/>
        <w:rPr>
          <w:rFonts w:eastAsia="Times New Roman" w:cs="Arial"/>
          <w:color w:val="333333"/>
          <w:sz w:val="18"/>
          <w:szCs w:val="18"/>
        </w:rPr>
      </w:pPr>
      <w:r>
        <w:rPr>
          <w:rStyle w:val="FootnoteReference"/>
        </w:rPr>
        <w:footnoteRef/>
      </w:r>
      <w:r>
        <w:t xml:space="preserve"> </w:t>
      </w:r>
      <w:r w:rsidRPr="009B4B0C">
        <w:rPr>
          <w:rFonts w:eastAsia="Times New Roman" w:cs="Arial"/>
          <w:color w:val="333333"/>
          <w:sz w:val="18"/>
          <w:szCs w:val="18"/>
        </w:rPr>
        <w:t>Michael D.</w:t>
      </w:r>
      <w:r>
        <w:rPr>
          <w:rFonts w:eastAsia="Times New Roman" w:cs="Arial"/>
          <w:color w:val="333333"/>
          <w:sz w:val="18"/>
          <w:szCs w:val="18"/>
        </w:rPr>
        <w:t xml:space="preserve"> </w:t>
      </w:r>
      <w:r w:rsidRPr="009B4B0C">
        <w:rPr>
          <w:rFonts w:eastAsia="Times New Roman" w:cs="Arial"/>
          <w:color w:val="333333"/>
          <w:sz w:val="18"/>
          <w:szCs w:val="18"/>
        </w:rPr>
        <w:t>Sutherland,</w:t>
      </w:r>
      <w:r>
        <w:rPr>
          <w:rFonts w:eastAsia="Times New Roman" w:cs="Arial"/>
          <w:color w:val="333333"/>
          <w:sz w:val="18"/>
          <w:szCs w:val="18"/>
        </w:rPr>
        <w:t xml:space="preserve"> </w:t>
      </w:r>
      <w:r w:rsidRPr="009B4B0C">
        <w:rPr>
          <w:rFonts w:eastAsia="Times New Roman" w:cs="Arial"/>
          <w:color w:val="333333"/>
          <w:sz w:val="18"/>
          <w:szCs w:val="18"/>
        </w:rPr>
        <w:t>Karen M.</w:t>
      </w:r>
      <w:r>
        <w:rPr>
          <w:rFonts w:eastAsia="Times New Roman" w:cs="Arial"/>
          <w:color w:val="333333"/>
          <w:sz w:val="18"/>
          <w:szCs w:val="18"/>
        </w:rPr>
        <w:t xml:space="preserve"> </w:t>
      </w:r>
      <w:r w:rsidRPr="009B4B0C">
        <w:rPr>
          <w:rFonts w:eastAsia="Times New Roman" w:cs="Arial"/>
          <w:color w:val="333333"/>
          <w:sz w:val="18"/>
          <w:szCs w:val="18"/>
        </w:rPr>
        <w:t xml:space="preserve">Sutter, </w:t>
      </w:r>
      <w:r>
        <w:rPr>
          <w:rFonts w:eastAsia="Times New Roman" w:cs="Arial"/>
          <w:color w:val="333333"/>
          <w:sz w:val="18"/>
          <w:szCs w:val="18"/>
        </w:rPr>
        <w:t>‘</w:t>
      </w:r>
      <w:r w:rsidRPr="009B4B0C">
        <w:rPr>
          <w:rFonts w:eastAsia="Times New Roman" w:cs="Arial"/>
          <w:color w:val="333333"/>
          <w:sz w:val="18"/>
          <w:szCs w:val="18"/>
        </w:rPr>
        <w:t>China’s One Belt, One Road Initiative: Economic Issues</w:t>
      </w:r>
      <w:r>
        <w:rPr>
          <w:rFonts w:eastAsia="Times New Roman" w:cs="Arial"/>
          <w:color w:val="333333"/>
          <w:sz w:val="18"/>
          <w:szCs w:val="18"/>
        </w:rPr>
        <w:t xml:space="preserve">’ (August </w:t>
      </w:r>
      <w:proofErr w:type="gramStart"/>
      <w:r>
        <w:rPr>
          <w:rFonts w:eastAsia="Times New Roman" w:cs="Arial"/>
          <w:color w:val="333333"/>
          <w:sz w:val="18"/>
          <w:szCs w:val="18"/>
        </w:rPr>
        <w:t>2026)&lt;</w:t>
      </w:r>
      <w:proofErr w:type="gramEnd"/>
      <w:r w:rsidRPr="009B4B0C">
        <w:t xml:space="preserve"> </w:t>
      </w:r>
      <w:hyperlink r:id="rId65" w:history="1">
        <w:r w:rsidRPr="00A72DD4">
          <w:rPr>
            <w:rStyle w:val="Hyperlink"/>
            <w:rFonts w:eastAsia="Times New Roman" w:cs="Arial"/>
            <w:sz w:val="18"/>
            <w:szCs w:val="18"/>
          </w:rPr>
          <w:t>https://www.congress.gov/crs-product/IF11735&gt;accessed</w:t>
        </w:r>
      </w:hyperlink>
      <w:r>
        <w:rPr>
          <w:rFonts w:eastAsia="Times New Roman" w:cs="Arial"/>
          <w:color w:val="333333"/>
          <w:sz w:val="18"/>
          <w:szCs w:val="18"/>
        </w:rPr>
        <w:t xml:space="preserve"> October 25, 2026.</w:t>
      </w:r>
    </w:p>
  </w:footnote>
  <w:footnote w:id="78">
    <w:p w14:paraId="35861305" w14:textId="77777777" w:rsidR="00540902" w:rsidRDefault="00540902" w:rsidP="00DA7B4F">
      <w:pPr>
        <w:pStyle w:val="FootnoteText"/>
        <w:jc w:val="both"/>
      </w:pPr>
      <w:r>
        <w:rPr>
          <w:rStyle w:val="FootnoteReference"/>
        </w:rPr>
        <w:footnoteRef/>
      </w:r>
      <w:r>
        <w:t xml:space="preserve"> Everest </w:t>
      </w:r>
      <w:proofErr w:type="spellStart"/>
      <w:r>
        <w:t>Amaefule</w:t>
      </w:r>
      <w:proofErr w:type="spellEnd"/>
      <w:r>
        <w:t>, ‘</w:t>
      </w:r>
      <w:r w:rsidRPr="00540902">
        <w:t xml:space="preserve">China Threatens </w:t>
      </w:r>
      <w:proofErr w:type="gramStart"/>
      <w:r w:rsidRPr="00540902">
        <w:t>To</w:t>
      </w:r>
      <w:proofErr w:type="gramEnd"/>
      <w:r w:rsidRPr="00540902">
        <w:t xml:space="preserve"> Shut Down Nigerian Communications Satellite Over $11.44m Debt</w:t>
      </w:r>
      <w:r>
        <w:t xml:space="preserve">’ (March </w:t>
      </w:r>
      <w:proofErr w:type="gramStart"/>
      <w:r>
        <w:t>2026)&lt;</w:t>
      </w:r>
      <w:proofErr w:type="gramEnd"/>
      <w:r w:rsidRPr="00540902">
        <w:t xml:space="preserve"> </w:t>
      </w:r>
      <w:hyperlink r:id="rId66" w:history="1">
        <w:r w:rsidRPr="00A72DD4">
          <w:rPr>
            <w:rStyle w:val="Hyperlink"/>
          </w:rPr>
          <w:t>https://thewhistler.ng/exclusive-china-threatens-to-shut-down-nigerian-communications-satellite-over-11-44m-debt/&gt;accessed</w:t>
        </w:r>
      </w:hyperlink>
      <w:r>
        <w:t xml:space="preserve"> October 25, 2026.</w:t>
      </w:r>
    </w:p>
  </w:footnote>
  <w:footnote w:id="79">
    <w:p w14:paraId="739464EE" w14:textId="77777777" w:rsidR="00CA1AC4" w:rsidRDefault="00CA1AC4" w:rsidP="00DA7B4F">
      <w:pPr>
        <w:pStyle w:val="FootnoteText"/>
        <w:jc w:val="both"/>
      </w:pPr>
      <w:r>
        <w:rPr>
          <w:rStyle w:val="FootnoteReference"/>
        </w:rPr>
        <w:footnoteRef/>
      </w:r>
      <w:r>
        <w:t xml:space="preserve"> Regulation (EU) 2024/1252 of the European Parliament and of the Council of 11 April 2024 establishing a framework for ensuring a secure and sustainable supply of critical raw materials [2024] OJ L2024/1252, art 5(1).</w:t>
      </w:r>
    </w:p>
  </w:footnote>
  <w:footnote w:id="80">
    <w:p w14:paraId="1EF0EE8E" w14:textId="77777777" w:rsidR="00CA1AC4" w:rsidRDefault="00CA1AC4" w:rsidP="00DA7B4F">
      <w:pPr>
        <w:pStyle w:val="FootnoteText"/>
        <w:jc w:val="both"/>
      </w:pPr>
      <w:r>
        <w:rPr>
          <w:rStyle w:val="FootnoteReference"/>
        </w:rPr>
        <w:footnoteRef/>
      </w:r>
      <w:r>
        <w:t xml:space="preserve"> Executive Order 14241 of 20 March 2025, Immediate Measures to Increase American Mineral Production, 90 Fed Reg 13673 (25 March 2025).</w:t>
      </w:r>
    </w:p>
  </w:footnote>
  <w:footnote w:id="81">
    <w:p w14:paraId="1BFC8D3D" w14:textId="77777777" w:rsidR="00CA1AC4" w:rsidRDefault="00CA1AC4" w:rsidP="00DA7B4F">
      <w:pPr>
        <w:pStyle w:val="FootnoteText"/>
        <w:jc w:val="both"/>
      </w:pPr>
      <w:r>
        <w:rPr>
          <w:rStyle w:val="FootnoteReference"/>
        </w:rPr>
        <w:footnoteRef/>
      </w:r>
      <w:r>
        <w:t xml:space="preserve"> International Energy Agency (n 66).</w:t>
      </w:r>
    </w:p>
  </w:footnote>
  <w:footnote w:id="82">
    <w:p w14:paraId="42C313DC" w14:textId="77777777" w:rsidR="00CA1AC4" w:rsidRDefault="00CA1AC4" w:rsidP="00DA7B4F">
      <w:pPr>
        <w:pStyle w:val="FootnoteText"/>
        <w:jc w:val="both"/>
      </w:pPr>
      <w:r>
        <w:rPr>
          <w:rStyle w:val="FootnoteReference"/>
        </w:rPr>
        <w:footnoteRef/>
      </w:r>
      <w:r>
        <w:t xml:space="preserve"> ‘Parliament Approves Lithium Mining Lease Agreement’ (Ghana News Agency, 20 March 2026) &lt;</w:t>
      </w:r>
      <w:hyperlink r:id="rId67">
        <w:r>
          <w:rPr>
            <w:rStyle w:val="Hyperlink"/>
          </w:rPr>
          <w:t>https://gna.org.gh/2026/03/parliament-approves-lithium-mining-lease-agreement/</w:t>
        </w:r>
      </w:hyperlink>
      <w:r>
        <w:t>&gt; accessed 16 October 2026.</w:t>
      </w:r>
    </w:p>
  </w:footnote>
  <w:footnote w:id="83">
    <w:p w14:paraId="50DDA953" w14:textId="4C835E0A" w:rsidR="00540902" w:rsidRDefault="00540902" w:rsidP="00DA7B4F">
      <w:pPr>
        <w:pStyle w:val="FootnoteText"/>
        <w:jc w:val="both"/>
      </w:pPr>
      <w:r>
        <w:rPr>
          <w:rStyle w:val="FootnoteReference"/>
        </w:rPr>
        <w:footnoteRef/>
      </w:r>
      <w:r>
        <w:t xml:space="preserve">  See Zhang </w:t>
      </w:r>
      <w:proofErr w:type="spellStart"/>
      <w:r>
        <w:t>Zeming</w:t>
      </w:r>
      <w:proofErr w:type="spellEnd"/>
      <w:r>
        <w:t xml:space="preserve"> &amp; Lu Yipei, ‘The Rare Earth Race: Why China, Central Asia, and the Caucasus Are the New Axis of Global Resource Power’ (HAGUE RSCH. INST. FOR E. EUR., S. CAUCASUS &amp; CENT. ASIA MAR. 2026).</w:t>
      </w:r>
    </w:p>
  </w:footnote>
  <w:footnote w:id="84">
    <w:p w14:paraId="62B5BD27" w14:textId="77777777" w:rsidR="00540902" w:rsidRDefault="00540902" w:rsidP="00DA7B4F">
      <w:pPr>
        <w:pStyle w:val="FootnoteText"/>
        <w:jc w:val="both"/>
      </w:pPr>
      <w:r>
        <w:rPr>
          <w:rStyle w:val="FootnoteReference"/>
        </w:rPr>
        <w:footnoteRef/>
      </w:r>
      <w:r>
        <w:t xml:space="preserve"> JESSICA BERLIN ET AL., </w:t>
      </w:r>
      <w:r w:rsidRPr="00540902">
        <w:rPr>
          <w:i/>
          <w:iCs/>
        </w:rPr>
        <w:t xml:space="preserve">The Blood Gold Report: How the Kremlin Is Using Wagner to Launder Billions </w:t>
      </w:r>
      <w:r>
        <w:rPr>
          <w:i/>
          <w:iCs/>
        </w:rPr>
        <w:t>i</w:t>
      </w:r>
      <w:r w:rsidRPr="00540902">
        <w:rPr>
          <w:i/>
          <w:iCs/>
        </w:rPr>
        <w:t>n African Gold (</w:t>
      </w:r>
      <w:r>
        <w:t>21 DEMOCRACY, DEC. 2023) 3–4, 7–21</w:t>
      </w:r>
    </w:p>
  </w:footnote>
  <w:footnote w:id="85">
    <w:p w14:paraId="71265F80" w14:textId="77777777" w:rsidR="005017FA" w:rsidRDefault="005017FA" w:rsidP="00DA7B4F">
      <w:pPr>
        <w:pStyle w:val="FootnoteText"/>
        <w:jc w:val="both"/>
      </w:pPr>
      <w:r>
        <w:rPr>
          <w:rStyle w:val="FootnoteReference"/>
        </w:rPr>
        <w:footnoteRef/>
      </w:r>
      <w:r>
        <w:t xml:space="preserve"> </w:t>
      </w:r>
      <w:proofErr w:type="spellStart"/>
      <w:r>
        <w:t>Khanij</w:t>
      </w:r>
      <w:proofErr w:type="spellEnd"/>
      <w:r>
        <w:t xml:space="preserve"> </w:t>
      </w:r>
      <w:proofErr w:type="spellStart"/>
      <w:r>
        <w:t>Bidesh</w:t>
      </w:r>
      <w:proofErr w:type="spellEnd"/>
      <w:r>
        <w:t xml:space="preserve"> India Ltd (KABIL), ‘About KABIL’ (Ministry of Mines, Government of India) accessed 25 October 2026;</w:t>
      </w:r>
      <w:r w:rsidRPr="005017FA">
        <w:t xml:space="preserve"> </w:t>
      </w:r>
      <w:proofErr w:type="spellStart"/>
      <w:r>
        <w:t>Aggam</w:t>
      </w:r>
      <w:proofErr w:type="spellEnd"/>
      <w:r>
        <w:t xml:space="preserve"> Walia, ‘Govt to Explore Copper, Cobalt Block in Zambia, Expand Africa Focus’ The Indian Express (New Delhi, 28 February 2025) accessed 25 October 2026;</w:t>
      </w:r>
      <w:r w:rsidRPr="005017FA">
        <w:rPr>
          <w:sz w:val="22"/>
          <w:szCs w:val="22"/>
        </w:rPr>
        <w:t xml:space="preserve"> </w:t>
      </w:r>
      <w:r w:rsidRPr="005017FA">
        <w:t xml:space="preserve">Veda Vaidyanathan, </w:t>
      </w:r>
      <w:r>
        <w:t>‘</w:t>
      </w:r>
      <w:r w:rsidRPr="005017FA">
        <w:t>India, Africa and Critical Minerals: Towards a Green Energy Partnership</w:t>
      </w:r>
      <w:r>
        <w:t>’</w:t>
      </w:r>
      <w:r w:rsidRPr="005017FA">
        <w:t xml:space="preserve"> (Working Paper, Centre for Social and Economic Progress, 5 March 2025) accessed 25 October 2026.</w:t>
      </w:r>
    </w:p>
  </w:footnote>
  <w:footnote w:id="86">
    <w:p w14:paraId="682AA5A3" w14:textId="77777777" w:rsidR="00CA1AC4" w:rsidRDefault="00CA1AC4" w:rsidP="00DA7B4F">
      <w:pPr>
        <w:pStyle w:val="FootnoteText"/>
        <w:jc w:val="both"/>
      </w:pPr>
      <w:r>
        <w:rPr>
          <w:rStyle w:val="FootnoteReference"/>
        </w:rPr>
        <w:footnoteRef/>
      </w:r>
      <w:r>
        <w:t xml:space="preserve"> African Union, </w:t>
      </w:r>
      <w:r>
        <w:rPr>
          <w:i/>
        </w:rPr>
        <w:t>Africa Mining Vision</w:t>
      </w:r>
      <w:r>
        <w:t xml:space="preserve"> (February 2009).</w:t>
      </w:r>
    </w:p>
  </w:footnote>
  <w:footnote w:id="87">
    <w:p w14:paraId="47214CE2" w14:textId="77777777" w:rsidR="00CA1AC4" w:rsidRDefault="00CA1AC4" w:rsidP="00DA7B4F">
      <w:pPr>
        <w:pStyle w:val="FootnoteText"/>
        <w:jc w:val="both"/>
      </w:pPr>
      <w:r>
        <w:rPr>
          <w:rStyle w:val="FootnoteReference"/>
        </w:rPr>
        <w:footnoteRef/>
      </w:r>
      <w:r>
        <w:t xml:space="preserve"> ‘Chinese Ambassador Outlines Path for Ghana’ (n 27).</w:t>
      </w:r>
    </w:p>
  </w:footnote>
  <w:footnote w:id="88">
    <w:p w14:paraId="638F5ECE" w14:textId="77777777" w:rsidR="00CA1AC4" w:rsidRDefault="00CA1AC4" w:rsidP="00DA7B4F">
      <w:pPr>
        <w:pStyle w:val="FootnoteText"/>
        <w:jc w:val="both"/>
      </w:pPr>
      <w:r>
        <w:rPr>
          <w:rStyle w:val="FootnoteReference"/>
        </w:rPr>
        <w:footnoteRef/>
      </w:r>
      <w:r>
        <w:t xml:space="preserve"> ‘Ghana to Apply for BRICS Membership’ (n 1).</w:t>
      </w:r>
    </w:p>
  </w:footnote>
  <w:footnote w:id="89">
    <w:p w14:paraId="0E34E379" w14:textId="77777777" w:rsidR="00CA1AC4" w:rsidRDefault="00CA1AC4" w:rsidP="00DA7B4F">
      <w:pPr>
        <w:pStyle w:val="FootnoteText"/>
        <w:jc w:val="both"/>
      </w:pPr>
      <w:r>
        <w:rPr>
          <w:rStyle w:val="FootnoteReference"/>
        </w:rPr>
        <w:footnoteRef/>
      </w:r>
      <w:r>
        <w:t xml:space="preserve"> ‘Minority Criticism of BRICS Move Disingenuous—</w:t>
      </w:r>
      <w:proofErr w:type="spellStart"/>
      <w:r>
        <w:t>Ablakwa</w:t>
      </w:r>
      <w:proofErr w:type="spellEnd"/>
      <w:r>
        <w:t>’ (Graphic Online, October 2026) &lt;</w:t>
      </w:r>
      <w:hyperlink r:id="rId68">
        <w:r>
          <w:rPr>
            <w:rStyle w:val="Hyperlink"/>
          </w:rPr>
          <w:t>https://www.graphic.com.gh/news/general-news/minority-criticism-of-brics-move-disingenuous-ablakwa.html</w:t>
        </w:r>
      </w:hyperlink>
      <w:r>
        <w:t>&gt; accessed 16 October 2026.</w:t>
      </w:r>
    </w:p>
  </w:footnote>
  <w:footnote w:id="90">
    <w:p w14:paraId="1E075C3F" w14:textId="77777777" w:rsidR="00CA1AC4" w:rsidRDefault="00CA1AC4" w:rsidP="00DA7B4F">
      <w:pPr>
        <w:pStyle w:val="FootnoteText"/>
        <w:jc w:val="both"/>
      </w:pPr>
      <w:r>
        <w:rPr>
          <w:rStyle w:val="FootnoteReference"/>
        </w:rPr>
        <w:footnoteRef/>
      </w:r>
      <w:r>
        <w:t xml:space="preserve"> BRICS </w:t>
      </w:r>
      <w:proofErr w:type="spellStart"/>
      <w:r>
        <w:t>Brasil</w:t>
      </w:r>
      <w:proofErr w:type="spellEnd"/>
      <w:r>
        <w:t>, ‘Nine Nations Announced as BRICS Partner Countries’ (n 28).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E436EF" w14:textId="77777777" w:rsidR="00CA1AC4" w:rsidRDefault="00CA1AC4">
    <w:pPr>
      <w:pStyle w:val="Header"/>
      <w:jc w:val="right"/>
    </w:pPr>
    <w:r>
      <w:rPr>
        <w:color w:val="68717A"/>
        <w:sz w:val="16"/>
      </w:rPr>
      <w:t>POLICY &amp; GEOPOLITICAL ANALYSIS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A375A72"/>
    <w:multiLevelType w:val="multilevel"/>
    <w:tmpl w:val="1FEAA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1572244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1AC4"/>
    <w:rsid w:val="000751D5"/>
    <w:rsid w:val="0008654B"/>
    <w:rsid w:val="000C079E"/>
    <w:rsid w:val="001F7793"/>
    <w:rsid w:val="0028464C"/>
    <w:rsid w:val="00286F45"/>
    <w:rsid w:val="002C24BA"/>
    <w:rsid w:val="00325A6A"/>
    <w:rsid w:val="00330F3E"/>
    <w:rsid w:val="003314A1"/>
    <w:rsid w:val="0036390B"/>
    <w:rsid w:val="00392B93"/>
    <w:rsid w:val="004240A3"/>
    <w:rsid w:val="00436CCD"/>
    <w:rsid w:val="004433C2"/>
    <w:rsid w:val="00446743"/>
    <w:rsid w:val="004801CD"/>
    <w:rsid w:val="004D05F3"/>
    <w:rsid w:val="005017FA"/>
    <w:rsid w:val="00503F70"/>
    <w:rsid w:val="00540902"/>
    <w:rsid w:val="00564BDF"/>
    <w:rsid w:val="0059030B"/>
    <w:rsid w:val="0059437D"/>
    <w:rsid w:val="005A5073"/>
    <w:rsid w:val="005B42ED"/>
    <w:rsid w:val="00647B05"/>
    <w:rsid w:val="006613AA"/>
    <w:rsid w:val="006B17D2"/>
    <w:rsid w:val="006E6839"/>
    <w:rsid w:val="006E715A"/>
    <w:rsid w:val="006F3206"/>
    <w:rsid w:val="00760E2E"/>
    <w:rsid w:val="00763A97"/>
    <w:rsid w:val="0078419F"/>
    <w:rsid w:val="00786A36"/>
    <w:rsid w:val="007C603A"/>
    <w:rsid w:val="00846C78"/>
    <w:rsid w:val="0086303C"/>
    <w:rsid w:val="008A3A58"/>
    <w:rsid w:val="008D36E1"/>
    <w:rsid w:val="009318DE"/>
    <w:rsid w:val="00995311"/>
    <w:rsid w:val="009A2BFF"/>
    <w:rsid w:val="009B3D21"/>
    <w:rsid w:val="009B4B0C"/>
    <w:rsid w:val="009B6E05"/>
    <w:rsid w:val="009C3AE6"/>
    <w:rsid w:val="009E70D1"/>
    <w:rsid w:val="00A17CCF"/>
    <w:rsid w:val="00A30531"/>
    <w:rsid w:val="00A402C3"/>
    <w:rsid w:val="00A64828"/>
    <w:rsid w:val="00A66265"/>
    <w:rsid w:val="00AA5E20"/>
    <w:rsid w:val="00B61F2F"/>
    <w:rsid w:val="00BB5406"/>
    <w:rsid w:val="00BD06D9"/>
    <w:rsid w:val="00BD3005"/>
    <w:rsid w:val="00C10A97"/>
    <w:rsid w:val="00C574BE"/>
    <w:rsid w:val="00C6536A"/>
    <w:rsid w:val="00CA1AC4"/>
    <w:rsid w:val="00CB391D"/>
    <w:rsid w:val="00D07418"/>
    <w:rsid w:val="00D63549"/>
    <w:rsid w:val="00DA3A0B"/>
    <w:rsid w:val="00DA6FE7"/>
    <w:rsid w:val="00DA7B4F"/>
    <w:rsid w:val="00E22BBE"/>
    <w:rsid w:val="00E46512"/>
    <w:rsid w:val="00EB1684"/>
    <w:rsid w:val="00ED3B1F"/>
    <w:rsid w:val="00F019B4"/>
    <w:rsid w:val="00F1590F"/>
    <w:rsid w:val="00F27336"/>
    <w:rsid w:val="00F97C0B"/>
    <w:rsid w:val="00FD62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FBE12E"/>
  <w15:chartTrackingRefBased/>
  <w15:docId w15:val="{96277969-5C2B-674D-8463-61568F908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1AC4"/>
    <w:pPr>
      <w:spacing w:after="140" w:line="360" w:lineRule="auto"/>
    </w:pPr>
    <w:rPr>
      <w:rFonts w:ascii="Arial" w:eastAsiaTheme="minorEastAsia" w:hAnsi="Arial"/>
      <w:color w:val="20262C"/>
      <w:kern w:val="0"/>
      <w:sz w:val="22"/>
      <w:szCs w:val="22"/>
      <w14:ligatures w14:val="none"/>
    </w:rPr>
  </w:style>
  <w:style w:type="paragraph" w:styleId="Heading1">
    <w:name w:val="heading 1"/>
    <w:basedOn w:val="Normal"/>
    <w:next w:val="Normal"/>
    <w:link w:val="Heading1Char"/>
    <w:uiPriority w:val="9"/>
    <w:qFormat/>
    <w:rsid w:val="00CA1A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A1A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A1AC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A1AC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A1AC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A1AC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A1AC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A1AC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A1AC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1AC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A1AC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A1AC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A1AC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A1AC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A1A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A1A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A1A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A1AC4"/>
    <w:rPr>
      <w:rFonts w:eastAsiaTheme="majorEastAsia" w:cstheme="majorBidi"/>
      <w:color w:val="272727" w:themeColor="text1" w:themeTint="D8"/>
    </w:rPr>
  </w:style>
  <w:style w:type="paragraph" w:styleId="Title">
    <w:name w:val="Title"/>
    <w:basedOn w:val="Normal"/>
    <w:next w:val="Normal"/>
    <w:link w:val="TitleChar"/>
    <w:uiPriority w:val="10"/>
    <w:qFormat/>
    <w:rsid w:val="00CA1A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1A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1AC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A1A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A1AC4"/>
    <w:pPr>
      <w:spacing w:before="160"/>
      <w:jc w:val="center"/>
    </w:pPr>
    <w:rPr>
      <w:i/>
      <w:iCs/>
      <w:color w:val="404040" w:themeColor="text1" w:themeTint="BF"/>
    </w:rPr>
  </w:style>
  <w:style w:type="character" w:customStyle="1" w:styleId="QuoteChar">
    <w:name w:val="Quote Char"/>
    <w:basedOn w:val="DefaultParagraphFont"/>
    <w:link w:val="Quote"/>
    <w:uiPriority w:val="29"/>
    <w:rsid w:val="00CA1AC4"/>
    <w:rPr>
      <w:i/>
      <w:iCs/>
      <w:color w:val="404040" w:themeColor="text1" w:themeTint="BF"/>
    </w:rPr>
  </w:style>
  <w:style w:type="paragraph" w:styleId="ListParagraph">
    <w:name w:val="List Paragraph"/>
    <w:basedOn w:val="Normal"/>
    <w:uiPriority w:val="34"/>
    <w:qFormat/>
    <w:rsid w:val="00CA1AC4"/>
    <w:pPr>
      <w:ind w:left="720"/>
      <w:contextualSpacing/>
    </w:pPr>
  </w:style>
  <w:style w:type="character" w:styleId="IntenseEmphasis">
    <w:name w:val="Intense Emphasis"/>
    <w:basedOn w:val="DefaultParagraphFont"/>
    <w:uiPriority w:val="21"/>
    <w:qFormat/>
    <w:rsid w:val="00CA1AC4"/>
    <w:rPr>
      <w:i/>
      <w:iCs/>
      <w:color w:val="0F4761" w:themeColor="accent1" w:themeShade="BF"/>
    </w:rPr>
  </w:style>
  <w:style w:type="paragraph" w:styleId="IntenseQuote">
    <w:name w:val="Intense Quote"/>
    <w:basedOn w:val="Normal"/>
    <w:next w:val="Normal"/>
    <w:link w:val="IntenseQuoteChar"/>
    <w:uiPriority w:val="30"/>
    <w:qFormat/>
    <w:rsid w:val="00CA1A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A1AC4"/>
    <w:rPr>
      <w:i/>
      <w:iCs/>
      <w:color w:val="0F4761" w:themeColor="accent1" w:themeShade="BF"/>
    </w:rPr>
  </w:style>
  <w:style w:type="character" w:styleId="IntenseReference">
    <w:name w:val="Intense Reference"/>
    <w:basedOn w:val="DefaultParagraphFont"/>
    <w:uiPriority w:val="32"/>
    <w:qFormat/>
    <w:rsid w:val="00CA1AC4"/>
    <w:rPr>
      <w:b/>
      <w:bCs/>
      <w:smallCaps/>
      <w:color w:val="0F4761" w:themeColor="accent1" w:themeShade="BF"/>
      <w:spacing w:val="5"/>
    </w:rPr>
  </w:style>
  <w:style w:type="paragraph" w:styleId="Header">
    <w:name w:val="header"/>
    <w:basedOn w:val="Normal"/>
    <w:link w:val="HeaderChar"/>
    <w:uiPriority w:val="99"/>
    <w:unhideWhenUsed/>
    <w:rsid w:val="00CA1A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1AC4"/>
    <w:rPr>
      <w:rFonts w:ascii="Arial" w:eastAsiaTheme="minorEastAsia" w:hAnsi="Arial"/>
      <w:color w:val="20262C"/>
      <w:kern w:val="0"/>
      <w:sz w:val="22"/>
      <w:szCs w:val="22"/>
      <w14:ligatures w14:val="none"/>
    </w:rPr>
  </w:style>
  <w:style w:type="paragraph" w:styleId="Footer">
    <w:name w:val="footer"/>
    <w:basedOn w:val="Normal"/>
    <w:link w:val="FooterChar"/>
    <w:uiPriority w:val="99"/>
    <w:unhideWhenUsed/>
    <w:rsid w:val="00CA1A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1AC4"/>
    <w:rPr>
      <w:rFonts w:ascii="Arial" w:eastAsiaTheme="minorEastAsia" w:hAnsi="Arial"/>
      <w:color w:val="20262C"/>
      <w:kern w:val="0"/>
      <w:sz w:val="22"/>
      <w:szCs w:val="22"/>
      <w14:ligatures w14:val="none"/>
    </w:rPr>
  </w:style>
  <w:style w:type="character" w:styleId="Hyperlink">
    <w:name w:val="Hyperlink"/>
    <w:basedOn w:val="DefaultParagraphFont"/>
    <w:uiPriority w:val="99"/>
    <w:unhideWhenUsed/>
    <w:rsid w:val="00CA1AC4"/>
    <w:rPr>
      <w:color w:val="467886" w:themeColor="hyperlink"/>
      <w:u w:val="single"/>
    </w:rPr>
  </w:style>
  <w:style w:type="paragraph" w:styleId="FootnoteText">
    <w:name w:val="footnote text"/>
    <w:basedOn w:val="Normal"/>
    <w:link w:val="FootnoteTextChar"/>
    <w:uiPriority w:val="99"/>
    <w:unhideWhenUsed/>
    <w:rsid w:val="00CA1AC4"/>
    <w:pPr>
      <w:spacing w:after="60" w:line="240" w:lineRule="auto"/>
    </w:pPr>
    <w:rPr>
      <w:sz w:val="17"/>
      <w:szCs w:val="17"/>
    </w:rPr>
  </w:style>
  <w:style w:type="character" w:customStyle="1" w:styleId="FootnoteTextChar">
    <w:name w:val="Footnote Text Char"/>
    <w:basedOn w:val="DefaultParagraphFont"/>
    <w:link w:val="FootnoteText"/>
    <w:uiPriority w:val="99"/>
    <w:rsid w:val="00CA1AC4"/>
    <w:rPr>
      <w:rFonts w:ascii="Arial" w:eastAsiaTheme="minorEastAsia" w:hAnsi="Arial"/>
      <w:color w:val="20262C"/>
      <w:kern w:val="0"/>
      <w:sz w:val="17"/>
      <w:szCs w:val="17"/>
      <w14:ligatures w14:val="none"/>
    </w:rPr>
  </w:style>
  <w:style w:type="character" w:styleId="FootnoteReference">
    <w:name w:val="footnote reference"/>
    <w:uiPriority w:val="99"/>
    <w:unhideWhenUsed/>
    <w:rsid w:val="00CA1AC4"/>
    <w:rPr>
      <w:vertAlign w:val="superscript"/>
    </w:rPr>
  </w:style>
  <w:style w:type="character" w:styleId="FollowedHyperlink">
    <w:name w:val="FollowedHyperlink"/>
    <w:basedOn w:val="DefaultParagraphFont"/>
    <w:uiPriority w:val="99"/>
    <w:semiHidden/>
    <w:unhideWhenUsed/>
    <w:rsid w:val="00CA1AC4"/>
    <w:rPr>
      <w:color w:val="96607D" w:themeColor="followedHyperlink"/>
      <w:u w:val="single"/>
    </w:rPr>
  </w:style>
  <w:style w:type="character" w:styleId="UnresolvedMention">
    <w:name w:val="Unresolved Mention"/>
    <w:basedOn w:val="DefaultParagraphFont"/>
    <w:uiPriority w:val="99"/>
    <w:semiHidden/>
    <w:unhideWhenUsed/>
    <w:rsid w:val="006F3206"/>
    <w:rPr>
      <w:color w:val="605E5C"/>
      <w:shd w:val="clear" w:color="auto" w:fill="E1DFDD"/>
    </w:rPr>
  </w:style>
  <w:style w:type="paragraph" w:styleId="NormalWeb">
    <w:name w:val="Normal (Web)"/>
    <w:basedOn w:val="Normal"/>
    <w:uiPriority w:val="99"/>
    <w:semiHidden/>
    <w:unhideWhenUsed/>
    <w:rsid w:val="00392B93"/>
    <w:rPr>
      <w:rFonts w:ascii="Times New Roman" w:hAnsi="Times New Roman" w:cs="Times New Roman"/>
      <w:sz w:val="24"/>
      <w:szCs w:val="24"/>
    </w:rPr>
  </w:style>
  <w:style w:type="character" w:styleId="Emphasis">
    <w:name w:val="Emphasis"/>
    <w:basedOn w:val="DefaultParagraphFont"/>
    <w:uiPriority w:val="20"/>
    <w:qFormat/>
    <w:rsid w:val="0028464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26" Type="http://schemas.openxmlformats.org/officeDocument/2006/relationships/hyperlink" Target="https://gna.org.gh/2026/02/chinas-zero-tariff-regime-expands-market-for-ghanaian-goods/" TargetMode="External"/><Relationship Id="rId21" Type="http://schemas.openxmlformats.org/officeDocument/2006/relationships/hyperlink" Target="https://www.pmindia.gov.in/en/news_updates/brics-new-delhi-declaration-building-for-resilience-innovation-cooperation-and-sustainability-september-12-2026/" TargetMode="External"/><Relationship Id="rId34" Type="http://schemas.openxmlformats.org/officeDocument/2006/relationships/hyperlink" Target="https://www.ndb.int/news/independent-evaluation-finds-that-ndbs-energy-sector-financing-supported-south-africa-in-addressing-national-energy-constraints/" TargetMode="External"/><Relationship Id="rId42" Type="http://schemas.openxmlformats.org/officeDocument/2006/relationships/hyperlink" Target="https://www.ndb.int/wp-content/uploads/2017/06/Terms-Conditions-and-Procedures1.pdf" TargetMode="External"/><Relationship Id="rId47" Type="http://schemas.openxmlformats.org/officeDocument/2006/relationships/hyperlink" Target="https://www.axios.com/2026/06/03/trump-rubio-greenland-canada-takeover-talk" TargetMode="External"/><Relationship Id="rId50" Type="http://schemas.openxmlformats.org/officeDocument/2006/relationships/hyperlink" Target="https://www.eurofound.europa.eu/en/publications/all/foundational-challenges-the-housing-struggles-of-europes-youth" TargetMode="External"/><Relationship Id="rId55" Type="http://schemas.openxmlformats.org/officeDocument/2006/relationships/hyperlink" Target="https://www.bundeswahlleiterin.de/en/info/presse/mitteilungen/bundestagswahl-2025/29_25_endgueltiges-ergebnis.html" TargetMode="External"/><Relationship Id="rId63" Type="http://schemas.openxmlformats.org/officeDocument/2006/relationships/hyperlink" Target="https://www.wto.org/english/tratop_e/devel_e/d1who_e.htm" TargetMode="External"/><Relationship Id="rId68" Type="http://schemas.openxmlformats.org/officeDocument/2006/relationships/hyperlink" Target="https://www.graphic.com.gh/news/general-news/minority-criticism-of-brics-move-disingenuous-ablakwa.html" TargetMode="External"/><Relationship Id="rId7" Type="http://schemas.openxmlformats.org/officeDocument/2006/relationships/hyperlink" Target="https://www.reuters.com/world/india/canada-races-seal-india-trade-pact-by-year-end-deepen-eu-ties-2026-10-14/" TargetMode="External"/><Relationship Id="rId2" Type="http://schemas.openxmlformats.org/officeDocument/2006/relationships/hyperlink" Target="https://gna.org.gh/2026/10/us-engaging-ghana-to-review-rejected-health-compact-agreement-mahama/" TargetMode="External"/><Relationship Id="rId16" Type="http://schemas.openxmlformats.org/officeDocument/2006/relationships/hyperlink" Target="https://unctad.org/publication/world-debt-2024" TargetMode="External"/><Relationship Id="rId29" Type="http://schemas.openxmlformats.org/officeDocument/2006/relationships/hyperlink" Target="https://www.ndb.int/wp-content/uploads/2026/07/NDB_AnnualReport2025.pdf" TargetMode="External"/><Relationship Id="rId11" Type="http://schemas.openxmlformats.org/officeDocument/2006/relationships/hyperlink" Target="https://thewire.in/diplomacy/modi-calls-for-brics-roadmap-on-global-governance-pushes-unsc-reform" TargetMode="External"/><Relationship Id="rId24" Type="http://schemas.openxmlformats.org/officeDocument/2006/relationships/hyperlink" Target="https://graphic.com.gh/news/politics/ablakwa-says-cabinet-has-approved-ghanas-bid-to-join-brics.html" TargetMode="External"/><Relationship Id="rId32" Type="http://schemas.openxmlformats.org/officeDocument/2006/relationships/hyperlink" Target="https://architexturez.net/node/211811" TargetMode="External"/><Relationship Id="rId37" Type="http://schemas.openxmlformats.org/officeDocument/2006/relationships/hyperlink" Target="https://brics2021.gov.in/brics/public/uploads/presspdf/press-9.pdf" TargetMode="External"/><Relationship Id="rId40" Type="http://schemas.openxmlformats.org/officeDocument/2006/relationships/hyperlink" Target="https://en.most.gov.cn/pressroom/202206/t20220622_181229.html" TargetMode="External"/><Relationship Id="rId45" Type="http://schemas.openxmlformats.org/officeDocument/2006/relationships/hyperlink" Target="https://borderbuddy.com/trade-tariff-news/section-122-is-out-section-301-is-in" TargetMode="External"/><Relationship Id="rId53" Type="http://schemas.openxmlformats.org/officeDocument/2006/relationships/hyperlink" Target="https://www.investing.com/news/economy-news/protesters-rally-across-spain-against-housing-crisis-tourist-flats-3969468?utm_source=chatgpt.com" TargetMode="External"/><Relationship Id="rId58" Type="http://schemas.openxmlformats.org/officeDocument/2006/relationships/hyperlink" Target="https://www.diplomatictimesonline.com/russian-ambassador-weighs-in-on-ghanas-decision-to-join-brics/%3eaccessed" TargetMode="External"/><Relationship Id="rId66" Type="http://schemas.openxmlformats.org/officeDocument/2006/relationships/hyperlink" Target="https://thewhistler.ng/exclusive-china-threatens-to-shut-down-nigerian-communications-satellite-over-11-44m-debt/%3eaccessed" TargetMode="External"/><Relationship Id="rId5" Type="http://schemas.openxmlformats.org/officeDocument/2006/relationships/hyperlink" Target="https://www.riotimesonline.com/kenya-us-health-deal-court-of-appeal-2026/" TargetMode="External"/><Relationship Id="rId61" Type="http://schemas.openxmlformats.org/officeDocument/2006/relationships/hyperlink" Target="https://freedomhouse.org/country/india/freedom-world/2026" TargetMode="External"/><Relationship Id="rId19" Type="http://schemas.openxmlformats.org/officeDocument/2006/relationships/hyperlink" Target="https://www.sipri.org/publications/2025/sipri-fact-sheets/trends-world-military-expenditure-2024" TargetMode="External"/><Relationship Id="rId14" Type="http://schemas.openxmlformats.org/officeDocument/2006/relationships/hyperlink" Target="https://www.businessday.co.za/bd/world/africa/2024-10-31-extra-imf-seat-is-a-start-say-african-leaders/" TargetMode="External"/><Relationship Id="rId22" Type="http://schemas.openxmlformats.org/officeDocument/2006/relationships/hyperlink" Target="https://citinewsroom.com/2026/04/uae-india-lead-ghanas-export-markets/" TargetMode="External"/><Relationship Id="rId27" Type="http://schemas.openxmlformats.org/officeDocument/2006/relationships/hyperlink" Target="https://gna.org.gh/2026/08/chinese-ambassador-outlines-path-for-ghana-under-zero-tariff-policy/" TargetMode="External"/><Relationship Id="rId30" Type="http://schemas.openxmlformats.org/officeDocument/2006/relationships/hyperlink" Target="https://sites.usp.br/gebrics/?p=661" TargetMode="External"/><Relationship Id="rId35" Type="http://schemas.openxmlformats.org/officeDocument/2006/relationships/hyperlink" Target="https://www.ndb.int/wp-content/uploads/2026/07/Evaluation-Lens-Issue16-China-Country-Portfolio-Evaluation_EN.pdf" TargetMode="External"/><Relationship Id="rId43" Type="http://schemas.openxmlformats.org/officeDocument/2006/relationships/hyperlink" Target="https://www.moti.gov.gh/new/blog-details.php?v=OTk%3D" TargetMode="External"/><Relationship Id="rId48" Type="http://schemas.openxmlformats.org/officeDocument/2006/relationships/hyperlink" Target="https://www.reuters.com/world/us/rubio-link-ancient-greek-values-america-first-speech-athens-2026-10-07/" TargetMode="External"/><Relationship Id="rId56" Type="http://schemas.openxmlformats.org/officeDocument/2006/relationships/hyperlink" Target="https://economy-finance.ec.europa.eu/cost-eu-member-states-proximity-war_en" TargetMode="External"/><Relationship Id="rId64" Type="http://schemas.openxmlformats.org/officeDocument/2006/relationships/hyperlink" Target="https://www.iea.org/reports/global-critical-minerals-outlook-2026/executive-summary" TargetMode="External"/><Relationship Id="rId8" Type="http://schemas.openxmlformats.org/officeDocument/2006/relationships/hyperlink" Target="https://www.pwc.com/content/pwc/script/gx/en/amp/issues/economy/the-world-in-2050.html" TargetMode="External"/><Relationship Id="rId51" Type="http://schemas.openxmlformats.org/officeDocument/2006/relationships/hyperlink" Target="https://www.reuters.com/world/europe/block-everything-protests-sweep-across-france-scores-arrested-2025-09-10/?utm_source=chatgpt.com" TargetMode="External"/><Relationship Id="rId3" Type="http://schemas.openxmlformats.org/officeDocument/2006/relationships/hyperlink" Target="https://apnews.com/article/f29f680cc017204de9269159f34b250d" TargetMode="External"/><Relationship Id="rId12" Type="http://schemas.openxmlformats.org/officeDocument/2006/relationships/hyperlink" Target="https://bnnbloomberg.ca/business/international/2024/10/24/modi-says-brics-must-avoid-being-an-anti-west-group-as-it-grows" TargetMode="External"/><Relationship Id="rId17" Type="http://schemas.openxmlformats.org/officeDocument/2006/relationships/hyperlink" Target="https://www.isas.nus.edu.sg/papers/indias-new-alignment-non-west-but-not-anti-west/" TargetMode="External"/><Relationship Id="rId25" Type="http://schemas.openxmlformats.org/officeDocument/2006/relationships/hyperlink" Target="https://thechronicle.com.gh/uae-india-lead-ghanas-export-markets/" TargetMode="External"/><Relationship Id="rId33" Type="http://schemas.openxmlformats.org/officeDocument/2006/relationships/hyperlink" Target="https://www.ecgnet.org/sites/default/files/ndb-ieo-report-on-ndb-development-results.pdf" TargetMode="External"/><Relationship Id="rId38" Type="http://schemas.openxmlformats.org/officeDocument/2006/relationships/hyperlink" Target="https://www.project-syndicate.org/commentary/barry-eichengreen-is-bullish-on-the-group-s-new-development-bank--but-not-on-its-contingent-reserve-arrangement" TargetMode="External"/><Relationship Id="rId46" Type="http://schemas.openxmlformats.org/officeDocument/2006/relationships/hyperlink" Target="https://globalnews.ca/news/11080463/trump-nato-rutte-canada-greenland/" TargetMode="External"/><Relationship Id="rId59" Type="http://schemas.openxmlformats.org/officeDocument/2006/relationships/hyperlink" Target="https://freedomhouse.org/country/ghana/freedom-world/2026" TargetMode="External"/><Relationship Id="rId67" Type="http://schemas.openxmlformats.org/officeDocument/2006/relationships/hyperlink" Target="https://gna.org.gh/2026/03/parliament-approves-lithium-mining-lease-agreement/" TargetMode="External"/><Relationship Id="rId20" Type="http://schemas.openxmlformats.org/officeDocument/2006/relationships/hyperlink" Target="https://bricsbrasil.com.br/en/" TargetMode="External"/><Relationship Id="rId41" Type="http://schemas.openxmlformats.org/officeDocument/2006/relationships/hyperlink" Target="https://thebftonline.com/?p=112957" TargetMode="External"/><Relationship Id="rId54" Type="http://schemas.openxmlformats.org/officeDocument/2006/relationships/hyperlink" Target="https://www.gov.uk/government/history/past-prime-ministers" TargetMode="External"/><Relationship Id="rId62" Type="http://schemas.openxmlformats.org/officeDocument/2006/relationships/hyperlink" Target="https://freedomhouse.org/country/south-africa/freedom-world/2026" TargetMode="External"/><Relationship Id="rId1" Type="http://schemas.openxmlformats.org/officeDocument/2006/relationships/hyperlink" Target="https://gna.org.gh/2026/10/ghana-to-apply-for-brics-membership-ablakwa/" TargetMode="External"/><Relationship Id="rId6" Type="http://schemas.openxmlformats.org/officeDocument/2006/relationships/hyperlink" Target="https://www.jurist.org/news/2026/01/trump-orders-us-withdrawal-from-66-international-organizations-including-un-climate-bodies/" TargetMode="External"/><Relationship Id="rId15" Type="http://schemas.openxmlformats.org/officeDocument/2006/relationships/hyperlink" Target="https://au.int/sites/default/files/decisions/9553-assembly_en_4_august_2005_auc_fourth_exteraordinary_session_decisions.pdf" TargetMode="External"/><Relationship Id="rId23" Type="http://schemas.openxmlformats.org/officeDocument/2006/relationships/hyperlink" Target="https://thehighstreetjournal.com/four-markets-take-99-8-of-ghanas-gold-exports-in-q2/" TargetMode="External"/><Relationship Id="rId28" Type="http://schemas.openxmlformats.org/officeDocument/2006/relationships/hyperlink" Target="https://brics.br/en/news/nine-nations-announced-as-brics-partner-countries" TargetMode="External"/><Relationship Id="rId36" Type="http://schemas.openxmlformats.org/officeDocument/2006/relationships/hyperlink" Target="https://www.gov.br/mre/en/contact-us/press-area/press-releases/documents-signed-on-the-occasion-of-the-vi-brics-summit-fortaleza-july-15-2014" TargetMode="External"/><Relationship Id="rId49" Type="http://schemas.openxmlformats.org/officeDocument/2006/relationships/hyperlink" Target="https://www.cbsnews.com/news/rubio-athens-acropolis-speech/" TargetMode="External"/><Relationship Id="rId57" Type="http://schemas.openxmlformats.org/officeDocument/2006/relationships/hyperlink" Target="https://economy-finance.ec.europa.eu/economic-forecast-and-surveys/economic-forecasts/spring-2026-economic-forecast-slowdown-growth-energy-shock-drives-inflation_en" TargetMode="External"/><Relationship Id="rId10" Type="http://schemas.openxmlformats.org/officeDocument/2006/relationships/hyperlink" Target="https://www.thompsonhinesmartrade.com/page/11" TargetMode="External"/><Relationship Id="rId31" Type="http://schemas.openxmlformats.org/officeDocument/2006/relationships/hyperlink" Target="https://www.ndb.int/wp-content/uploads/2024/09/Evaluation-Lens-Issue-8_China-Putian-Bay-Offshore_PT.pdf" TargetMode="External"/><Relationship Id="rId44" Type="http://schemas.openxmlformats.org/officeDocument/2006/relationships/hyperlink" Target="https://www.clearytradewatch.com/2026/02/supreme-court-strikes-down-ieepa-tariffs-what-to-know-and-expect/" TargetMode="External"/><Relationship Id="rId52" Type="http://schemas.openxmlformats.org/officeDocument/2006/relationships/hyperlink" Target="https://www.reuters.com/world/thousands-strike-march-italy-against-melonis-budget-2025-12-12/?utm_source=chatgpt.com" TargetMode="External"/><Relationship Id="rId60" Type="http://schemas.openxmlformats.org/officeDocument/2006/relationships/hyperlink" Target="https://www.ohchr.org/en/press-releases/2026/10/india-un-experts-alarmed-fresh-crackdown-protests-and-rights-violations" TargetMode="External"/><Relationship Id="rId65" Type="http://schemas.openxmlformats.org/officeDocument/2006/relationships/hyperlink" Target="https://www.congress.gov/crs-product/IF11735%3eaccessed" TargetMode="External"/><Relationship Id="rId4" Type="http://schemas.openxmlformats.org/officeDocument/2006/relationships/hyperlink" Target="https://www.reuters.com/business/healthcare-pharmaceuticals/kenyan-court-suspends-health-pact-with-us-hear-data-privacy-case-2025-12-11/" TargetMode="External"/><Relationship Id="rId9" Type="http://schemas.openxmlformats.org/officeDocument/2006/relationships/hyperlink" Target="https://www.isd.gov.gh/foreign-affairs-minister-clarifies-ghanas-intended-brics-partner-country-status/" TargetMode="External"/><Relationship Id="rId13" Type="http://schemas.openxmlformats.org/officeDocument/2006/relationships/hyperlink" Target="https://www.britannica.com/event/Bandung-Conference" TargetMode="External"/><Relationship Id="rId18" Type="http://schemas.openxmlformats.org/officeDocument/2006/relationships/hyperlink" Target="https://www.theeastafrican.co.ke/tea/business/uae-raises-stakes-in-competition-for-african-market-4326896" TargetMode="External"/><Relationship Id="rId39" Type="http://schemas.openxmlformats.org/officeDocument/2006/relationships/hyperlink" Target="https://worldjpn.net/documents/texts/BRICS/20210909.D1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227440-F8F5-7047-8325-6AF0A74192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Pages>
  <Words>7230</Words>
  <Characters>41217</Characters>
  <Application>Microsoft Office Word</Application>
  <DocSecurity>0</DocSecurity>
  <Lines>343</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Maame Tuffour</dc:creator>
  <cp:keywords/>
  <dc:description/>
  <cp:lastModifiedBy>Martin Waana-ang</cp:lastModifiedBy>
  <cp:revision>2</cp:revision>
  <dcterms:created xsi:type="dcterms:W3CDTF">2026-11-03T18:36:00Z</dcterms:created>
  <dcterms:modified xsi:type="dcterms:W3CDTF">2026-11-03T18:36:00Z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doc5e80c26b004cec7c">
    <vt:lpwstr>01a1a2b1-7293-72b0-aac9-d25a9ac7d430</vt:lpwstr>
  </property>
</Properties>
</file>